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6EB1D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5B6C271">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1A4D41D5">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7</w:t>
            </w:r>
            <w:r>
              <w:rPr>
                <w:rFonts w:hint="eastAsia" w:ascii="黑体" w:hAnsi="黑体" w:eastAsia="黑体"/>
                <w:sz w:val="21"/>
                <w:szCs w:val="21"/>
                <w:lang w:val="en-US" w:eastAsia="zh-CN"/>
              </w:rPr>
              <w:t>5.160.20</w:t>
            </w:r>
            <w:r>
              <w:rPr>
                <w:rFonts w:ascii="黑体" w:hAnsi="黑体" w:eastAsia="黑体"/>
                <w:sz w:val="21"/>
                <w:szCs w:val="21"/>
              </w:rPr>
              <w:fldChar w:fldCharType="end"/>
            </w:r>
            <w:bookmarkEnd w:id="0"/>
          </w:p>
        </w:tc>
      </w:tr>
      <w:tr w14:paraId="0D24D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168E06A">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CCS</w:t>
            </w:r>
          </w:p>
        </w:tc>
        <w:tc>
          <w:tcPr>
            <w:tcW w:w="8855" w:type="dxa"/>
          </w:tcPr>
          <w:p w14:paraId="7D6DE40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E 31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F30310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763A208">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0D29B840">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4D64CE8">
      <w:pPr>
        <w:pStyle w:val="195"/>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17464839">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4E1E8C2">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60"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3B3C913A">
      <w:pPr>
        <w:pStyle w:val="50"/>
        <w:framePr w:w="9639" w:h="6976" w:hRule="exact" w:hSpace="0" w:vSpace="0" w:wrap="around" w:hAnchor="page" w:y="6408"/>
        <w:jc w:val="center"/>
        <w:rPr>
          <w:rFonts w:ascii="黑体" w:hAnsi="黑体" w:eastAsia="黑体"/>
          <w:b w:val="0"/>
          <w:bCs w:val="0"/>
          <w:w w:val="100"/>
        </w:rPr>
      </w:pPr>
    </w:p>
    <w:p w14:paraId="03627D2A">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车用柴油快速筛查技术规范</w:t>
      </w:r>
      <w:r>
        <w:fldChar w:fldCharType="end"/>
      </w:r>
      <w:bookmarkEnd w:id="9"/>
    </w:p>
    <w:p w14:paraId="75165023">
      <w:pPr>
        <w:framePr w:w="9639" w:h="6974" w:hRule="exact" w:wrap="around" w:vAnchor="page" w:hAnchor="page" w:x="1419" w:y="6408" w:anchorLock="1"/>
        <w:ind w:left="-1418"/>
      </w:pPr>
    </w:p>
    <w:p w14:paraId="0904CAD2">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Technical specification for rapid screening of automobile diesel fuels</w:t>
      </w:r>
      <w:r>
        <w:rPr>
          <w:rFonts w:ascii="黑体" w:hAnsi="黑体" w:eastAsia="黑体"/>
          <w:szCs w:val="28"/>
        </w:rPr>
        <w:fldChar w:fldCharType="end"/>
      </w:r>
      <w:bookmarkEnd w:id="10"/>
    </w:p>
    <w:p w14:paraId="6D58E41A">
      <w:pPr>
        <w:framePr w:w="9639" w:h="6974" w:hRule="exact" w:wrap="around" w:vAnchor="page" w:hAnchor="page" w:x="1419" w:y="6408" w:anchorLock="1"/>
        <w:spacing w:line="760" w:lineRule="exact"/>
        <w:ind w:left="-1418"/>
      </w:pPr>
    </w:p>
    <w:p w14:paraId="02CED0E5">
      <w:pPr>
        <w:pStyle w:val="125"/>
        <w:framePr w:w="9639" w:h="6974" w:hRule="exact" w:wrap="around" w:vAnchor="page" w:hAnchor="page" w:x="1419" w:y="6408" w:anchorLock="1"/>
        <w:textAlignment w:val="bottom"/>
        <w:rPr>
          <w:rFonts w:eastAsia="黑体"/>
          <w:szCs w:val="28"/>
        </w:rPr>
      </w:pPr>
    </w:p>
    <w:p w14:paraId="0B13A19C">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5EEDC270">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（本草案完成时间：2024.9.5）</w:t>
      </w:r>
      <w:r>
        <w:rPr>
          <w:sz w:val="21"/>
          <w:szCs w:val="28"/>
        </w:rPr>
        <w:fldChar w:fldCharType="end"/>
      </w:r>
      <w:bookmarkEnd w:id="12"/>
    </w:p>
    <w:p w14:paraId="1EB0EE9F">
      <w:pPr>
        <w:pStyle w:val="125"/>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52226EF">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34926E05">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A52BCDC">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23CA5E5">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2059"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33C2FD77">
      <w:pPr>
        <w:pStyle w:val="89"/>
        <w:spacing w:before="900" w:after="468"/>
      </w:pPr>
      <w:bookmarkStart w:id="21" w:name="BookMark2"/>
      <w:r>
        <w:rPr>
          <w:rFonts w:hint="eastAsia"/>
          <w:spacing w:val="320"/>
        </w:rPr>
        <w:t>前</w:t>
      </w:r>
      <w:r>
        <w:rPr>
          <w:rFonts w:hint="eastAsia"/>
        </w:rPr>
        <w:t>言</w:t>
      </w:r>
    </w:p>
    <w:p w14:paraId="24EBBDDE">
      <w:pPr>
        <w:pStyle w:val="56"/>
        <w:ind w:firstLine="420"/>
      </w:pPr>
      <w:r>
        <w:rPr>
          <w:rFonts w:hint="eastAsia"/>
        </w:rPr>
        <w:t>本文件按照GB/T 1.1—2020《标准化工作导则  第1部分：标准化文件的结构和起草规则》的规定起草。</w:t>
      </w:r>
    </w:p>
    <w:p w14:paraId="328F100C">
      <w:pPr>
        <w:pStyle w:val="56"/>
        <w:ind w:firstLine="420"/>
      </w:pPr>
      <w:r>
        <w:rPr>
          <w:rFonts w:hint="eastAsia"/>
        </w:rPr>
        <w:t>请注意本文件的某些内容可能涉及专利，本文件的发布机构不承担识别专利的责任。</w:t>
      </w:r>
    </w:p>
    <w:p w14:paraId="2D6EBDDC">
      <w:pPr>
        <w:ind w:firstLine="420" w:firstLineChars="200"/>
      </w:pPr>
      <w:r>
        <w:rPr>
          <w:rFonts w:hint="eastAsia"/>
        </w:rPr>
        <w:t>本文件由</w:t>
      </w:r>
      <w:r>
        <w:rPr>
          <w:rFonts w:hint="eastAsia" w:ascii="宋体" w:hAnsi="宋体"/>
        </w:rPr>
        <w:t>江苏省市场监督管理局</w:t>
      </w:r>
      <w:r>
        <w:rPr>
          <w:rFonts w:hint="eastAsia"/>
        </w:rPr>
        <w:t>提出、归口并组织实施。</w:t>
      </w:r>
    </w:p>
    <w:p w14:paraId="4E48E20F">
      <w:pPr>
        <w:ind w:firstLine="420" w:firstLineChars="200"/>
        <w:rPr>
          <w:rFonts w:ascii="宋体" w:hAnsi="宋体"/>
        </w:rPr>
      </w:pPr>
      <w:r>
        <w:rPr>
          <w:rFonts w:hint="eastAsia" w:ascii="宋体" w:hAnsi="宋体"/>
        </w:rPr>
        <w:t>本文件起草单位：江苏省产品质量监督检验研究院、中国石化销售股份有限公司江苏石油分公司、常州市食品药品纤维质量监督检验中心。</w:t>
      </w:r>
    </w:p>
    <w:p w14:paraId="6F74E742">
      <w:pPr>
        <w:ind w:firstLine="420" w:firstLineChars="200"/>
        <w:rPr>
          <w:rFonts w:ascii="宋体" w:hAnsi="宋体"/>
        </w:rPr>
      </w:pPr>
      <w:r>
        <w:rPr>
          <w:rFonts w:hint="eastAsia" w:ascii="宋体" w:hAnsi="宋体"/>
        </w:rPr>
        <w:t>本文件主要起草人：孙牧、王伟、苏玉倩、马东、陆元华、薛彦军、陶小波、</w:t>
      </w:r>
      <w:r>
        <w:rPr>
          <w:rFonts w:hint="eastAsia" w:ascii="宋体" w:hAnsi="宋体"/>
          <w:color w:val="000000"/>
        </w:rPr>
        <w:t>余倩、</w:t>
      </w:r>
      <w:r>
        <w:rPr>
          <w:rFonts w:hint="eastAsia" w:ascii="宋体" w:hAnsi="宋体"/>
        </w:rPr>
        <w:t>朱婕妤、邹雨虹。</w:t>
      </w:r>
    </w:p>
    <w:p w14:paraId="4CF37FA3">
      <w:pPr>
        <w:pStyle w:val="56"/>
        <w:ind w:firstLine="420"/>
      </w:pPr>
    </w:p>
    <w:p w14:paraId="091DD402">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p>
    <w:bookmarkEnd w:id="21"/>
    <w:p w14:paraId="6A8EBDC8">
      <w:pPr>
        <w:spacing w:line="20" w:lineRule="exact"/>
        <w:jc w:val="center"/>
        <w:rPr>
          <w:rFonts w:ascii="黑体" w:hAnsi="黑体" w:eastAsia="黑体"/>
          <w:sz w:val="32"/>
          <w:szCs w:val="32"/>
        </w:rPr>
      </w:pPr>
      <w:bookmarkStart w:id="22" w:name="BookMark4"/>
    </w:p>
    <w:p w14:paraId="0367AF5F">
      <w:pPr>
        <w:spacing w:line="20" w:lineRule="exact"/>
        <w:jc w:val="center"/>
        <w:rPr>
          <w:rFonts w:ascii="黑体" w:hAnsi="黑体" w:eastAsia="黑体"/>
          <w:sz w:val="32"/>
          <w:szCs w:val="32"/>
        </w:rPr>
      </w:pPr>
    </w:p>
    <w:sdt>
      <w:sdtPr>
        <w:tag w:val="NEW_STAND_NAME"/>
        <w:id w:val="595910757"/>
        <w:lock w:val="sdtLocked"/>
        <w:placeholder>
          <w:docPart w:val="14504E9F9EB94A46BCE651C113478D18"/>
        </w:placeholder>
      </w:sdtPr>
      <w:sdtContent>
        <w:sdt>
          <w:sdtPr>
            <w:tag w:val="NEW_STAND_NAME"/>
            <w:id w:val="297261049"/>
            <w:placeholder>
              <w:docPart w:val="329969AAAF5B485C8EBCB809E33F68A3"/>
            </w:placeholder>
          </w:sdtPr>
          <w:sdtContent>
            <w:p w14:paraId="161A3162">
              <w:pPr>
                <w:pStyle w:val="177"/>
                <w:spacing w:beforeLines="1" w:afterLines="220"/>
              </w:pPr>
              <w:bookmarkStart w:id="23" w:name="NEW_STAND_NAME"/>
              <w:r>
                <w:rPr>
                  <w:rFonts w:hint="eastAsia"/>
                </w:rPr>
                <w:t>车用柴油快速筛查技术规范</w:t>
              </w:r>
            </w:p>
          </w:sdtContent>
        </w:sdt>
      </w:sdtContent>
    </w:sdt>
    <w:bookmarkEnd w:id="23"/>
    <w:p w14:paraId="1720A924">
      <w:pPr>
        <w:pStyle w:val="104"/>
        <w:spacing w:before="312" w:after="312"/>
      </w:pPr>
      <w:bookmarkStart w:id="24" w:name="_Toc26648465"/>
      <w:bookmarkStart w:id="25" w:name="_Toc26986771"/>
      <w:bookmarkStart w:id="26" w:name="_Toc17233333"/>
      <w:bookmarkStart w:id="27" w:name="_Toc26986530"/>
      <w:bookmarkStart w:id="28" w:name="_Toc24884211"/>
      <w:bookmarkStart w:id="29" w:name="_Toc17233325"/>
      <w:bookmarkStart w:id="30" w:name="_Toc24884218"/>
      <w:bookmarkStart w:id="31" w:name="_Toc26718930"/>
      <w:bookmarkStart w:id="32" w:name="_Toc97191423"/>
      <w:r>
        <w:rPr>
          <w:rFonts w:hint="eastAsia"/>
        </w:rPr>
        <w:t>范围</w:t>
      </w:r>
      <w:bookmarkEnd w:id="24"/>
      <w:bookmarkEnd w:id="25"/>
      <w:bookmarkEnd w:id="26"/>
      <w:bookmarkEnd w:id="27"/>
      <w:bookmarkEnd w:id="28"/>
      <w:bookmarkEnd w:id="29"/>
      <w:bookmarkEnd w:id="30"/>
      <w:bookmarkEnd w:id="31"/>
      <w:bookmarkEnd w:id="32"/>
    </w:p>
    <w:p w14:paraId="4E960A71">
      <w:pPr>
        <w:pStyle w:val="56"/>
        <w:ind w:firstLine="420"/>
      </w:pPr>
      <w:bookmarkStart w:id="33" w:name="_Hlk175654796"/>
      <w:bookmarkStart w:id="34" w:name="_Toc17233326"/>
      <w:bookmarkStart w:id="35" w:name="_Toc24884212"/>
      <w:bookmarkStart w:id="36" w:name="_Toc17233334"/>
      <w:bookmarkStart w:id="37" w:name="_Toc26648466"/>
      <w:bookmarkStart w:id="38" w:name="_Toc24884219"/>
      <w:r>
        <w:rPr>
          <w:rFonts w:hint="eastAsia"/>
        </w:rPr>
        <w:t>本文件规定了车用柴油快速筛查项目和阈值、取样、快速筛查方法、载具和设备要求、结果处理、质量保证等内容。</w:t>
      </w:r>
    </w:p>
    <w:p w14:paraId="5795465A">
      <w:pPr>
        <w:pStyle w:val="56"/>
        <w:ind w:firstLine="420"/>
      </w:pPr>
      <w:r>
        <w:rPr>
          <w:rFonts w:hint="eastAsia"/>
        </w:rPr>
        <w:t>本文件适用于车用柴油产品质量的快速筛查。</w:t>
      </w:r>
    </w:p>
    <w:bookmarkEnd w:id="33"/>
    <w:p w14:paraId="63B6F97B">
      <w:pPr>
        <w:pStyle w:val="104"/>
        <w:spacing w:before="312" w:after="312"/>
      </w:pPr>
      <w:bookmarkStart w:id="39" w:name="_Toc26986531"/>
      <w:bookmarkStart w:id="40" w:name="_Toc26718931"/>
      <w:bookmarkStart w:id="41" w:name="_Toc97191424"/>
      <w:bookmarkStart w:id="42" w:name="_Toc26986772"/>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24EFE260DC6D4287A14291F2D6B60A8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09D3F41">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C9CFDE8">
      <w:pPr>
        <w:pStyle w:val="230"/>
        <w:ind w:firstLine="420"/>
        <w:rPr>
          <w:rFonts w:hAnsi="Times New Roman" w:cs="Times New Roman"/>
          <w:szCs w:val="20"/>
        </w:rPr>
      </w:pPr>
      <w:r>
        <w:rPr>
          <w:rFonts w:hint="eastAsia" w:hAnsi="Times New Roman" w:cs="Times New Roman"/>
          <w:szCs w:val="20"/>
        </w:rPr>
        <w:t>GB/T 261 闪点的测定 宾斯基-马丁闭口杯法</w:t>
      </w:r>
    </w:p>
    <w:p w14:paraId="59DF215F">
      <w:pPr>
        <w:pStyle w:val="230"/>
        <w:ind w:firstLine="420"/>
        <w:rPr>
          <w:rFonts w:hAnsi="Times New Roman" w:cs="Times New Roman"/>
          <w:szCs w:val="20"/>
        </w:rPr>
      </w:pPr>
      <w:r>
        <w:rPr>
          <w:rFonts w:hint="eastAsia" w:hAnsi="Times New Roman" w:cs="Times New Roman"/>
          <w:szCs w:val="20"/>
        </w:rPr>
        <w:t>GB/T 4756 石油液体手工取样法</w:t>
      </w:r>
    </w:p>
    <w:p w14:paraId="1FA63925">
      <w:pPr>
        <w:pStyle w:val="230"/>
        <w:ind w:firstLine="420"/>
        <w:rPr>
          <w:rFonts w:hAnsi="Times New Roman" w:cs="Times New Roman"/>
          <w:szCs w:val="20"/>
        </w:rPr>
      </w:pPr>
      <w:r>
        <w:rPr>
          <w:rFonts w:hint="eastAsia" w:hAnsi="Times New Roman" w:cs="Times New Roman"/>
          <w:szCs w:val="20"/>
        </w:rPr>
        <w:t>GB/T 6536 石油产品常压蒸馏特性测定法</w:t>
      </w:r>
    </w:p>
    <w:p w14:paraId="230929D2">
      <w:pPr>
        <w:pStyle w:val="230"/>
        <w:ind w:firstLine="420"/>
        <w:rPr>
          <w:rFonts w:hAnsi="Times New Roman" w:cs="Times New Roman"/>
          <w:szCs w:val="20"/>
        </w:rPr>
      </w:pPr>
      <w:r>
        <w:rPr>
          <w:rFonts w:hint="eastAsia" w:hAnsi="Times New Roman" w:cs="Times New Roman"/>
          <w:szCs w:val="20"/>
        </w:rPr>
        <w:t>GB 19147 车用柴油</w:t>
      </w:r>
    </w:p>
    <w:p w14:paraId="77433756">
      <w:pPr>
        <w:pStyle w:val="230"/>
        <w:ind w:firstLine="420"/>
        <w:rPr>
          <w:rFonts w:hAnsi="Times New Roman" w:cs="Times New Roman"/>
          <w:szCs w:val="20"/>
        </w:rPr>
      </w:pPr>
      <w:r>
        <w:rPr>
          <w:rFonts w:hint="eastAsia" w:hAnsi="Times New Roman" w:cs="Times New Roman"/>
          <w:szCs w:val="20"/>
        </w:rPr>
        <w:t>GB/T 29858 分子光谱多元校正定量分析通则</w:t>
      </w:r>
    </w:p>
    <w:p w14:paraId="2B4E48DF">
      <w:pPr>
        <w:pStyle w:val="230"/>
        <w:ind w:firstLine="420"/>
        <w:rPr>
          <w:rFonts w:hAnsi="Times New Roman" w:cs="Times New Roman"/>
          <w:szCs w:val="20"/>
        </w:rPr>
      </w:pPr>
      <w:r>
        <w:rPr>
          <w:rFonts w:hint="eastAsia" w:hAnsi="Times New Roman" w:cs="Times New Roman"/>
          <w:szCs w:val="20"/>
        </w:rPr>
        <w:t>NB/SH/T 0248 柴油和民用取暖油冷滤点测定法</w:t>
      </w:r>
    </w:p>
    <w:p w14:paraId="5DCAB14C">
      <w:pPr>
        <w:pStyle w:val="230"/>
        <w:ind w:firstLine="420"/>
        <w:rPr>
          <w:rFonts w:hAnsi="Times New Roman" w:cs="Times New Roman"/>
          <w:szCs w:val="20"/>
        </w:rPr>
      </w:pPr>
      <w:r>
        <w:rPr>
          <w:rFonts w:hint="eastAsia" w:hAnsi="Times New Roman" w:cs="Times New Roman"/>
          <w:szCs w:val="20"/>
        </w:rPr>
        <w:t>NB/SH/T 0606 中间馏分烃类组成的测定 质谱法</w:t>
      </w:r>
    </w:p>
    <w:p w14:paraId="0B881EE1">
      <w:pPr>
        <w:pStyle w:val="230"/>
        <w:ind w:firstLine="420"/>
        <w:rPr>
          <w:rFonts w:hAnsi="Times New Roman" w:cs="Times New Roman"/>
          <w:szCs w:val="20"/>
        </w:rPr>
      </w:pPr>
      <w:r>
        <w:rPr>
          <w:rFonts w:hint="eastAsia" w:hAnsi="Times New Roman" w:cs="Times New Roman"/>
          <w:szCs w:val="20"/>
        </w:rPr>
        <w:t>NB/SH/T 0806 中间馏分芳烃含量的测定 示差折光检测器高效液相色谱法</w:t>
      </w:r>
    </w:p>
    <w:p w14:paraId="13B94BC1">
      <w:pPr>
        <w:spacing w:line="240" w:lineRule="auto"/>
        <w:ind w:firstLine="420" w:firstLineChars="200"/>
        <w:rPr>
          <w:rFonts w:ascii="宋体" w:hAnsi="Times New Roman"/>
          <w:kern w:val="0"/>
          <w:szCs w:val="20"/>
        </w:rPr>
      </w:pPr>
      <w:r>
        <w:rPr>
          <w:rFonts w:hint="eastAsia" w:ascii="宋体" w:hAnsi="Times New Roman"/>
          <w:kern w:val="0"/>
          <w:szCs w:val="20"/>
        </w:rPr>
        <w:t>NB/SH/T 0842 轻质液体燃料中硫含量的测定 单波长色散X射线荧光光谱法</w:t>
      </w:r>
    </w:p>
    <w:p w14:paraId="42B6A922">
      <w:pPr>
        <w:spacing w:line="240" w:lineRule="auto"/>
        <w:ind w:firstLine="420" w:firstLineChars="200"/>
        <w:rPr>
          <w:rFonts w:ascii="宋体" w:hAnsi="Times New Roman"/>
          <w:kern w:val="0"/>
          <w:szCs w:val="20"/>
        </w:rPr>
      </w:pPr>
      <w:r>
        <w:rPr>
          <w:rFonts w:hint="eastAsia" w:ascii="宋体" w:hAnsi="Times New Roman"/>
          <w:kern w:val="0"/>
          <w:szCs w:val="20"/>
        </w:rPr>
        <w:t>NB/SH/T 0916 柴油燃料中生物柴油（脂肪酸甲酯）含量的测定 红外光谱法</w:t>
      </w:r>
    </w:p>
    <w:p w14:paraId="6D6D86C6">
      <w:pPr>
        <w:pStyle w:val="230"/>
        <w:ind w:firstLine="420"/>
        <w:rPr>
          <w:rFonts w:hAnsi="Times New Roman" w:cs="Times New Roman"/>
          <w:szCs w:val="20"/>
        </w:rPr>
      </w:pPr>
      <w:r>
        <w:rPr>
          <w:rFonts w:hint="eastAsia" w:hAnsi="Times New Roman" w:cs="Times New Roman"/>
          <w:szCs w:val="20"/>
        </w:rPr>
        <w:t>SH/T 0604 原油和石油产品密度测定法（U形振动管法）</w:t>
      </w:r>
    </w:p>
    <w:p w14:paraId="7BC28E36">
      <w:pPr>
        <w:pStyle w:val="230"/>
        <w:ind w:firstLine="420"/>
        <w:rPr>
          <w:rFonts w:hAnsi="Times New Roman" w:cs="Times New Roman"/>
          <w:szCs w:val="20"/>
        </w:rPr>
      </w:pPr>
      <w:r>
        <w:rPr>
          <w:rFonts w:hint="eastAsia" w:hAnsi="Times New Roman" w:cs="Times New Roman"/>
          <w:szCs w:val="20"/>
        </w:rPr>
        <w:t>SH/T 0694 中间馏份燃料十六烷指数计算法（四变量公式法）</w:t>
      </w:r>
    </w:p>
    <w:p w14:paraId="492755D7">
      <w:pPr>
        <w:pStyle w:val="230"/>
        <w:ind w:firstLine="420"/>
        <w:rPr>
          <w:rFonts w:hAnsi="Times New Roman" w:cs="Times New Roman"/>
          <w:szCs w:val="20"/>
        </w:rPr>
      </w:pPr>
      <w:r>
        <w:rPr>
          <w:rFonts w:hint="eastAsia" w:hAnsi="Times New Roman" w:cs="Times New Roman"/>
          <w:szCs w:val="20"/>
        </w:rPr>
        <w:t>SH/T 0768 闪点测定法（常闭式闭口杯法）</w:t>
      </w:r>
    </w:p>
    <w:p w14:paraId="2FCE7DB3">
      <w:pPr>
        <w:pStyle w:val="104"/>
        <w:spacing w:before="312" w:after="312"/>
      </w:pPr>
      <w:bookmarkStart w:id="43" w:name="_Toc97191425"/>
      <w:r>
        <w:rPr>
          <w:rFonts w:hint="eastAsia"/>
          <w:szCs w:val="21"/>
        </w:rPr>
        <w:t>术语和定义</w:t>
      </w:r>
      <w:bookmarkEnd w:id="43"/>
    </w:p>
    <w:p w14:paraId="532B88E3">
      <w:pPr>
        <w:pStyle w:val="56"/>
        <w:ind w:firstLine="420"/>
      </w:pPr>
      <w:bookmarkStart w:id="44" w:name="_Toc26986532"/>
      <w:bookmarkEnd w:id="44"/>
      <w:sdt>
        <w:sdtPr>
          <w:id w:val="-1909835108"/>
          <w:placeholder>
            <w:docPart w:val="7B969DCD76F54476A43E141EF3C3F4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r>
            <w:rPr>
              <w:rFonts w:hint="eastAsia"/>
            </w:rPr>
            <w:t>GB/T 29858 界定的及下列术语和定义适用于本文件。</w:t>
          </w:r>
        </w:sdtContent>
      </w:sdt>
    </w:p>
    <w:p w14:paraId="42D9B401">
      <w:pPr>
        <w:pStyle w:val="105"/>
        <w:spacing w:before="156" w:after="156"/>
      </w:pPr>
      <w:r>
        <w:rPr>
          <w:rFonts w:hint="eastAsia"/>
        </w:rPr>
        <w:t>快速筛查 rapid screening</w:t>
      </w:r>
    </w:p>
    <w:p w14:paraId="0949C7F2">
      <w:pPr>
        <w:pStyle w:val="56"/>
        <w:ind w:firstLine="420"/>
      </w:pPr>
      <w:r>
        <w:rPr>
          <w:rFonts w:hint="eastAsia"/>
        </w:rPr>
        <w:t>利用快速检测设施设备，对产品质量进行快速检测并筛查质量安全风险的活动。</w:t>
      </w:r>
    </w:p>
    <w:p w14:paraId="52F24DF8">
      <w:pPr>
        <w:pStyle w:val="105"/>
        <w:spacing w:before="156" w:after="156"/>
      </w:pPr>
      <w:r>
        <w:rPr>
          <w:rFonts w:hint="eastAsia"/>
        </w:rPr>
        <w:t>阈值 threshold</w:t>
      </w:r>
    </w:p>
    <w:p w14:paraId="38BFCEAE">
      <w:pPr>
        <w:pStyle w:val="230"/>
        <w:ind w:firstLine="420"/>
      </w:pPr>
      <w:r>
        <w:rPr>
          <w:rFonts w:hint="eastAsia" w:hAnsi="Times New Roman" w:cs="Times New Roman"/>
          <w:szCs w:val="20"/>
        </w:rPr>
        <w:t>又叫临界值，是指一个效应</w:t>
      </w:r>
      <w:r>
        <w:rPr>
          <w:rFonts w:hint="eastAsia"/>
        </w:rPr>
        <w:t>能够产生的最低值或最高值。</w:t>
      </w:r>
    </w:p>
    <w:p w14:paraId="0A103690">
      <w:pPr>
        <w:pStyle w:val="104"/>
        <w:spacing w:before="312" w:after="312"/>
        <w:rPr>
          <w:szCs w:val="21"/>
        </w:rPr>
      </w:pPr>
      <w:r>
        <w:rPr>
          <w:rFonts w:hint="eastAsia"/>
          <w:szCs w:val="21"/>
        </w:rPr>
        <w:t>快速筛查项目和阈值</w:t>
      </w:r>
    </w:p>
    <w:p w14:paraId="06272F5E">
      <w:pPr>
        <w:pStyle w:val="230"/>
        <w:ind w:firstLine="420"/>
      </w:pPr>
      <w:r>
        <w:rPr>
          <w:rFonts w:hint="eastAsia"/>
        </w:rPr>
        <w:t>车用柴油快速筛查项目和阈值见表1。</w:t>
      </w:r>
    </w:p>
    <w:p w14:paraId="57E77764">
      <w:pPr>
        <w:widowControl/>
        <w:adjustRightInd/>
        <w:spacing w:line="240" w:lineRule="auto"/>
        <w:jc w:val="left"/>
        <w:rPr>
          <w:rFonts w:ascii="宋体" w:hAnsi="宋体" w:cs="宋体"/>
          <w:kern w:val="0"/>
        </w:rPr>
      </w:pPr>
      <w:r>
        <w:br w:type="page"/>
      </w:r>
    </w:p>
    <w:p w14:paraId="3041AB85">
      <w:pPr>
        <w:pStyle w:val="112"/>
        <w:spacing w:before="156" w:after="156"/>
      </w:pPr>
      <w:r>
        <w:rPr>
          <w:rFonts w:hint="eastAsia"/>
        </w:rPr>
        <w:t>车用柴油快速筛查项目和阈值</w:t>
      </w:r>
    </w:p>
    <w:tbl>
      <w:tblPr>
        <w:tblStyle w:val="27"/>
        <w:tblW w:w="9356" w:type="dxa"/>
        <w:jc w:val="center"/>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61"/>
        <w:gridCol w:w="2221"/>
        <w:gridCol w:w="929"/>
        <w:gridCol w:w="929"/>
        <w:gridCol w:w="929"/>
        <w:gridCol w:w="929"/>
        <w:gridCol w:w="929"/>
        <w:gridCol w:w="929"/>
      </w:tblGrid>
      <w:tr w14:paraId="6024182F">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blHeader/>
          <w:jc w:val="center"/>
        </w:trPr>
        <w:tc>
          <w:tcPr>
            <w:tcW w:w="3782" w:type="dxa"/>
            <w:gridSpan w:val="2"/>
            <w:vMerge w:val="restart"/>
            <w:tcBorders>
              <w:top w:val="single" w:color="auto" w:sz="12" w:space="0"/>
              <w:bottom w:val="single" w:color="000000" w:themeColor="text1" w:sz="4" w:space="0"/>
            </w:tcBorders>
            <w:shd w:val="clear" w:color="auto" w:fill="auto"/>
            <w:vAlign w:val="center"/>
          </w:tcPr>
          <w:p w14:paraId="2CFC80D8">
            <w:pPr>
              <w:pStyle w:val="235"/>
              <w:jc w:val="center"/>
              <w:rPr>
                <w:sz w:val="18"/>
                <w:szCs w:val="18"/>
              </w:rPr>
            </w:pPr>
            <w:r>
              <w:rPr>
                <w:rFonts w:hint="eastAsia"/>
                <w:sz w:val="18"/>
                <w:szCs w:val="18"/>
              </w:rPr>
              <w:t>项  目</w:t>
            </w:r>
          </w:p>
        </w:tc>
        <w:tc>
          <w:tcPr>
            <w:tcW w:w="5574" w:type="dxa"/>
            <w:gridSpan w:val="6"/>
            <w:tcBorders>
              <w:top w:val="single" w:color="auto" w:sz="12" w:space="0"/>
              <w:bottom w:val="single" w:color="000000" w:themeColor="text1" w:sz="4" w:space="0"/>
            </w:tcBorders>
            <w:shd w:val="clear" w:color="auto" w:fill="auto"/>
            <w:vAlign w:val="center"/>
          </w:tcPr>
          <w:p w14:paraId="6F640972">
            <w:pPr>
              <w:spacing w:line="240" w:lineRule="auto"/>
              <w:jc w:val="center"/>
              <w:rPr>
                <w:rFonts w:ascii="宋体" w:hAnsi="宋体"/>
                <w:sz w:val="18"/>
                <w:szCs w:val="18"/>
              </w:rPr>
            </w:pPr>
            <w:r>
              <w:rPr>
                <w:rFonts w:hint="eastAsia" w:ascii="宋体" w:hAnsi="宋体"/>
                <w:sz w:val="18"/>
                <w:szCs w:val="18"/>
              </w:rPr>
              <w:t>阈  值</w:t>
            </w:r>
          </w:p>
        </w:tc>
      </w:tr>
      <w:tr w14:paraId="7C60FB23">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tblHeader/>
          <w:jc w:val="center"/>
        </w:trPr>
        <w:tc>
          <w:tcPr>
            <w:tcW w:w="3782" w:type="dxa"/>
            <w:gridSpan w:val="2"/>
            <w:vMerge w:val="continue"/>
            <w:tcBorders>
              <w:top w:val="single" w:color="000000" w:themeColor="text1" w:sz="4" w:space="0"/>
              <w:bottom w:val="single" w:color="auto" w:sz="12" w:space="0"/>
            </w:tcBorders>
            <w:shd w:val="clear" w:color="auto" w:fill="auto"/>
            <w:vAlign w:val="center"/>
          </w:tcPr>
          <w:p w14:paraId="7E4C867A">
            <w:pPr>
              <w:pStyle w:val="235"/>
              <w:jc w:val="center"/>
              <w:rPr>
                <w:sz w:val="18"/>
                <w:szCs w:val="18"/>
              </w:rPr>
            </w:pPr>
          </w:p>
        </w:tc>
        <w:tc>
          <w:tcPr>
            <w:tcW w:w="929" w:type="dxa"/>
            <w:tcBorders>
              <w:top w:val="single" w:color="000000" w:themeColor="text1" w:sz="4" w:space="0"/>
              <w:bottom w:val="single" w:color="auto" w:sz="12" w:space="0"/>
            </w:tcBorders>
            <w:shd w:val="clear" w:color="auto" w:fill="auto"/>
            <w:vAlign w:val="center"/>
          </w:tcPr>
          <w:p w14:paraId="6C7C87F9">
            <w:pPr>
              <w:spacing w:line="240" w:lineRule="auto"/>
              <w:jc w:val="center"/>
              <w:rPr>
                <w:rFonts w:ascii="宋体" w:hAnsi="宋体"/>
                <w:sz w:val="18"/>
                <w:szCs w:val="18"/>
              </w:rPr>
            </w:pPr>
            <w:r>
              <w:rPr>
                <w:rFonts w:hint="eastAsia" w:ascii="宋体" w:hAnsi="宋体"/>
                <w:sz w:val="18"/>
                <w:szCs w:val="18"/>
              </w:rPr>
              <w:t>5号</w:t>
            </w:r>
          </w:p>
        </w:tc>
        <w:tc>
          <w:tcPr>
            <w:tcW w:w="929" w:type="dxa"/>
            <w:tcBorders>
              <w:top w:val="single" w:color="000000" w:themeColor="text1" w:sz="4" w:space="0"/>
              <w:bottom w:val="single" w:color="auto" w:sz="12" w:space="0"/>
            </w:tcBorders>
            <w:shd w:val="clear" w:color="auto" w:fill="auto"/>
            <w:vAlign w:val="center"/>
          </w:tcPr>
          <w:p w14:paraId="27B4C13F">
            <w:pPr>
              <w:spacing w:line="240" w:lineRule="auto"/>
              <w:jc w:val="center"/>
              <w:rPr>
                <w:rFonts w:ascii="宋体" w:hAnsi="宋体"/>
                <w:sz w:val="18"/>
                <w:szCs w:val="18"/>
              </w:rPr>
            </w:pPr>
            <w:r>
              <w:rPr>
                <w:rFonts w:hint="eastAsia" w:ascii="宋体" w:hAnsi="宋体"/>
                <w:sz w:val="18"/>
                <w:szCs w:val="18"/>
              </w:rPr>
              <w:t>0号</w:t>
            </w:r>
          </w:p>
        </w:tc>
        <w:tc>
          <w:tcPr>
            <w:tcW w:w="929" w:type="dxa"/>
            <w:tcBorders>
              <w:top w:val="single" w:color="000000" w:themeColor="text1" w:sz="4" w:space="0"/>
              <w:bottom w:val="single" w:color="auto" w:sz="12" w:space="0"/>
            </w:tcBorders>
            <w:shd w:val="clear" w:color="auto" w:fill="auto"/>
            <w:vAlign w:val="center"/>
          </w:tcPr>
          <w:p w14:paraId="1BA1854E">
            <w:pPr>
              <w:spacing w:line="240" w:lineRule="auto"/>
              <w:jc w:val="center"/>
              <w:rPr>
                <w:rFonts w:ascii="宋体" w:hAnsi="宋体"/>
                <w:sz w:val="18"/>
                <w:szCs w:val="18"/>
              </w:rPr>
            </w:pPr>
            <w:r>
              <w:rPr>
                <w:rFonts w:hint="eastAsia" w:ascii="宋体" w:hAnsi="宋体"/>
                <w:sz w:val="18"/>
                <w:szCs w:val="18"/>
              </w:rPr>
              <w:t>-10号</w:t>
            </w:r>
          </w:p>
        </w:tc>
        <w:tc>
          <w:tcPr>
            <w:tcW w:w="929" w:type="dxa"/>
            <w:tcBorders>
              <w:top w:val="single" w:color="000000" w:themeColor="text1" w:sz="4" w:space="0"/>
              <w:bottom w:val="single" w:color="auto" w:sz="12" w:space="0"/>
            </w:tcBorders>
            <w:shd w:val="clear" w:color="auto" w:fill="auto"/>
            <w:vAlign w:val="center"/>
          </w:tcPr>
          <w:p w14:paraId="40F8ADE3">
            <w:pPr>
              <w:spacing w:line="240" w:lineRule="auto"/>
              <w:jc w:val="center"/>
              <w:rPr>
                <w:rFonts w:ascii="宋体" w:hAnsi="宋体"/>
                <w:sz w:val="18"/>
                <w:szCs w:val="18"/>
              </w:rPr>
            </w:pPr>
            <w:r>
              <w:rPr>
                <w:rFonts w:hint="eastAsia" w:ascii="宋体" w:hAnsi="宋体"/>
                <w:sz w:val="18"/>
                <w:szCs w:val="18"/>
              </w:rPr>
              <w:t>-20号</w:t>
            </w:r>
          </w:p>
        </w:tc>
        <w:tc>
          <w:tcPr>
            <w:tcW w:w="929" w:type="dxa"/>
            <w:tcBorders>
              <w:top w:val="single" w:color="000000" w:themeColor="text1" w:sz="4" w:space="0"/>
              <w:bottom w:val="single" w:color="auto" w:sz="12" w:space="0"/>
            </w:tcBorders>
            <w:shd w:val="clear" w:color="auto" w:fill="auto"/>
            <w:vAlign w:val="center"/>
          </w:tcPr>
          <w:p w14:paraId="098F2301">
            <w:pPr>
              <w:spacing w:line="240" w:lineRule="auto"/>
              <w:jc w:val="center"/>
              <w:rPr>
                <w:rFonts w:ascii="宋体" w:hAnsi="宋体"/>
                <w:sz w:val="18"/>
                <w:szCs w:val="18"/>
              </w:rPr>
            </w:pPr>
            <w:r>
              <w:rPr>
                <w:rFonts w:hint="eastAsia" w:ascii="宋体" w:hAnsi="宋体"/>
                <w:sz w:val="18"/>
                <w:szCs w:val="18"/>
              </w:rPr>
              <w:t>-35号</w:t>
            </w:r>
          </w:p>
        </w:tc>
        <w:tc>
          <w:tcPr>
            <w:tcW w:w="929" w:type="dxa"/>
            <w:tcBorders>
              <w:top w:val="single" w:color="000000" w:themeColor="text1" w:sz="4" w:space="0"/>
              <w:bottom w:val="single" w:color="auto" w:sz="12" w:space="0"/>
            </w:tcBorders>
            <w:shd w:val="clear" w:color="auto" w:fill="auto"/>
            <w:vAlign w:val="center"/>
          </w:tcPr>
          <w:p w14:paraId="4A6A38DD">
            <w:pPr>
              <w:spacing w:line="240" w:lineRule="auto"/>
              <w:jc w:val="center"/>
              <w:rPr>
                <w:rFonts w:ascii="宋体" w:hAnsi="宋体"/>
                <w:sz w:val="18"/>
                <w:szCs w:val="18"/>
              </w:rPr>
            </w:pPr>
            <w:r>
              <w:rPr>
                <w:rFonts w:hint="eastAsia" w:ascii="宋体" w:hAnsi="宋体"/>
                <w:sz w:val="18"/>
                <w:szCs w:val="18"/>
              </w:rPr>
              <w:t>-50号</w:t>
            </w:r>
          </w:p>
        </w:tc>
      </w:tr>
      <w:tr w14:paraId="2BBF5A94">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782" w:type="dxa"/>
            <w:gridSpan w:val="2"/>
            <w:tcBorders>
              <w:top w:val="single" w:color="auto" w:sz="12" w:space="0"/>
            </w:tcBorders>
            <w:shd w:val="clear" w:color="auto" w:fill="auto"/>
            <w:vAlign w:val="center"/>
          </w:tcPr>
          <w:p w14:paraId="47D2C3CB">
            <w:pPr>
              <w:spacing w:line="240" w:lineRule="auto"/>
              <w:rPr>
                <w:rFonts w:ascii="宋体" w:hAnsi="宋体"/>
                <w:sz w:val="18"/>
                <w:szCs w:val="18"/>
              </w:rPr>
            </w:pPr>
            <w:r>
              <w:rPr>
                <w:rFonts w:hint="eastAsia" w:ascii="宋体" w:hAnsi="宋体"/>
                <w:sz w:val="18"/>
                <w:szCs w:val="18"/>
              </w:rPr>
              <w:t>硫含量/（mg/kg）                      ＞</w:t>
            </w:r>
          </w:p>
        </w:tc>
        <w:tc>
          <w:tcPr>
            <w:tcW w:w="5574" w:type="dxa"/>
            <w:gridSpan w:val="6"/>
            <w:tcBorders>
              <w:top w:val="single" w:color="auto" w:sz="12" w:space="0"/>
            </w:tcBorders>
            <w:shd w:val="clear" w:color="auto" w:fill="auto"/>
            <w:vAlign w:val="center"/>
          </w:tcPr>
          <w:p w14:paraId="581A8F3A">
            <w:pPr>
              <w:spacing w:line="240" w:lineRule="auto"/>
              <w:jc w:val="center"/>
              <w:rPr>
                <w:rFonts w:ascii="宋体" w:hAnsi="宋体"/>
                <w:sz w:val="18"/>
                <w:szCs w:val="18"/>
              </w:rPr>
            </w:pPr>
            <w:r>
              <w:rPr>
                <w:rFonts w:hint="eastAsia" w:ascii="宋体" w:hAnsi="宋体"/>
                <w:sz w:val="18"/>
                <w:szCs w:val="18"/>
              </w:rPr>
              <w:t>10</w:t>
            </w:r>
          </w:p>
        </w:tc>
      </w:tr>
      <w:tr w14:paraId="580B6779">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782" w:type="dxa"/>
            <w:gridSpan w:val="2"/>
            <w:shd w:val="clear" w:color="auto" w:fill="auto"/>
            <w:vAlign w:val="center"/>
          </w:tcPr>
          <w:p w14:paraId="1E80E379">
            <w:pPr>
              <w:spacing w:line="240" w:lineRule="auto"/>
              <w:jc w:val="center"/>
              <w:rPr>
                <w:rFonts w:ascii="宋体" w:hAnsi="宋体"/>
                <w:sz w:val="18"/>
                <w:szCs w:val="18"/>
              </w:rPr>
            </w:pPr>
            <w:r>
              <w:rPr>
                <w:rFonts w:hint="eastAsia" w:ascii="宋体" w:hAnsi="宋体"/>
                <w:sz w:val="18"/>
                <w:szCs w:val="18"/>
              </w:rPr>
              <w:t>闪点（闭口）/℃                       ＜</w:t>
            </w:r>
          </w:p>
        </w:tc>
        <w:tc>
          <w:tcPr>
            <w:tcW w:w="1858" w:type="dxa"/>
            <w:gridSpan w:val="2"/>
            <w:shd w:val="clear" w:color="auto" w:fill="auto"/>
            <w:vAlign w:val="center"/>
          </w:tcPr>
          <w:p w14:paraId="015D46D3">
            <w:pPr>
              <w:spacing w:line="240" w:lineRule="auto"/>
              <w:jc w:val="center"/>
              <w:rPr>
                <w:rFonts w:ascii="宋体" w:hAnsi="宋体"/>
                <w:sz w:val="18"/>
                <w:szCs w:val="18"/>
              </w:rPr>
            </w:pPr>
            <w:r>
              <w:rPr>
                <w:rFonts w:hint="eastAsia" w:ascii="宋体" w:hAnsi="宋体"/>
                <w:sz w:val="18"/>
                <w:szCs w:val="18"/>
              </w:rPr>
              <w:t>60</w:t>
            </w:r>
          </w:p>
        </w:tc>
        <w:tc>
          <w:tcPr>
            <w:tcW w:w="1858" w:type="dxa"/>
            <w:gridSpan w:val="2"/>
            <w:shd w:val="clear" w:color="auto" w:fill="auto"/>
            <w:vAlign w:val="center"/>
          </w:tcPr>
          <w:p w14:paraId="7269FE6F">
            <w:pPr>
              <w:spacing w:line="240" w:lineRule="auto"/>
              <w:jc w:val="center"/>
              <w:rPr>
                <w:rFonts w:ascii="宋体" w:hAnsi="宋体"/>
                <w:sz w:val="18"/>
                <w:szCs w:val="18"/>
              </w:rPr>
            </w:pPr>
            <w:r>
              <w:rPr>
                <w:rFonts w:hint="eastAsia" w:ascii="宋体" w:hAnsi="宋体"/>
                <w:sz w:val="18"/>
                <w:szCs w:val="18"/>
              </w:rPr>
              <w:t>50</w:t>
            </w:r>
          </w:p>
        </w:tc>
        <w:tc>
          <w:tcPr>
            <w:tcW w:w="1858" w:type="dxa"/>
            <w:gridSpan w:val="2"/>
            <w:shd w:val="clear" w:color="auto" w:fill="auto"/>
            <w:vAlign w:val="center"/>
          </w:tcPr>
          <w:p w14:paraId="0EE7B32A">
            <w:pPr>
              <w:spacing w:line="240" w:lineRule="auto"/>
              <w:jc w:val="center"/>
              <w:rPr>
                <w:rFonts w:ascii="宋体" w:hAnsi="宋体"/>
                <w:sz w:val="18"/>
                <w:szCs w:val="18"/>
              </w:rPr>
            </w:pPr>
            <w:r>
              <w:rPr>
                <w:rFonts w:hint="eastAsia" w:ascii="宋体" w:hAnsi="宋体"/>
                <w:sz w:val="18"/>
                <w:szCs w:val="18"/>
              </w:rPr>
              <w:t>45</w:t>
            </w:r>
          </w:p>
        </w:tc>
      </w:tr>
      <w:tr w14:paraId="38422ABA">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782" w:type="dxa"/>
            <w:gridSpan w:val="2"/>
            <w:shd w:val="clear" w:color="auto" w:fill="auto"/>
            <w:vAlign w:val="center"/>
          </w:tcPr>
          <w:p w14:paraId="3EC589AD">
            <w:pPr>
              <w:spacing w:line="240" w:lineRule="auto"/>
              <w:ind w:firstLine="32" w:firstLineChars="18"/>
              <w:rPr>
                <w:rFonts w:ascii="宋体" w:hAnsi="宋体"/>
                <w:sz w:val="18"/>
                <w:szCs w:val="18"/>
              </w:rPr>
            </w:pPr>
            <w:r>
              <w:rPr>
                <w:rFonts w:hint="eastAsia" w:ascii="宋体" w:hAnsi="宋体"/>
                <w:sz w:val="18"/>
                <w:szCs w:val="18"/>
              </w:rPr>
              <w:t>密度</w:t>
            </w:r>
            <w:r>
              <w:rPr>
                <w:rFonts w:ascii="宋体" w:hAnsi="宋体"/>
                <w:sz w:val="18"/>
                <w:szCs w:val="18"/>
              </w:rPr>
              <w:t>（</w:t>
            </w:r>
            <w:r>
              <w:rPr>
                <w:rFonts w:hint="eastAsia" w:ascii="宋体" w:hAnsi="宋体"/>
                <w:sz w:val="18"/>
                <w:szCs w:val="18"/>
              </w:rPr>
              <w:t>20℃</w:t>
            </w:r>
            <w:r>
              <w:rPr>
                <w:rFonts w:ascii="宋体" w:hAnsi="宋体"/>
                <w:sz w:val="18"/>
                <w:szCs w:val="18"/>
              </w:rPr>
              <w:t>）</w:t>
            </w:r>
            <w:r>
              <w:rPr>
                <w:rFonts w:hint="eastAsia" w:ascii="宋体" w:hAnsi="宋体"/>
                <w:sz w:val="18"/>
                <w:szCs w:val="18"/>
              </w:rPr>
              <w:t>/（kg/m</w:t>
            </w:r>
            <w:r>
              <w:rPr>
                <w:rFonts w:hint="eastAsia" w:ascii="宋体" w:hAnsi="宋体"/>
                <w:sz w:val="18"/>
                <w:szCs w:val="18"/>
                <w:vertAlign w:val="superscript"/>
              </w:rPr>
              <w:t>3</w:t>
            </w:r>
            <w:r>
              <w:rPr>
                <w:rFonts w:hint="eastAsia" w:ascii="宋体" w:hAnsi="宋体"/>
                <w:sz w:val="18"/>
                <w:szCs w:val="18"/>
              </w:rPr>
              <w:t>）</w:t>
            </w:r>
          </w:p>
        </w:tc>
        <w:tc>
          <w:tcPr>
            <w:tcW w:w="2787" w:type="dxa"/>
            <w:gridSpan w:val="3"/>
            <w:shd w:val="clear" w:color="auto" w:fill="auto"/>
            <w:vAlign w:val="center"/>
          </w:tcPr>
          <w:p w14:paraId="4297DCB9">
            <w:pPr>
              <w:spacing w:line="240" w:lineRule="auto"/>
              <w:jc w:val="center"/>
              <w:rPr>
                <w:rFonts w:ascii="宋体" w:hAnsi="宋体"/>
                <w:sz w:val="18"/>
                <w:szCs w:val="18"/>
              </w:rPr>
            </w:pPr>
            <w:r>
              <w:rPr>
                <w:rFonts w:hint="eastAsia" w:ascii="宋体" w:hAnsi="宋体"/>
                <w:sz w:val="18"/>
                <w:szCs w:val="18"/>
              </w:rPr>
              <w:t>＜810或＞845</w:t>
            </w:r>
          </w:p>
        </w:tc>
        <w:tc>
          <w:tcPr>
            <w:tcW w:w="2787" w:type="dxa"/>
            <w:gridSpan w:val="3"/>
            <w:shd w:val="clear" w:color="auto" w:fill="auto"/>
            <w:vAlign w:val="center"/>
          </w:tcPr>
          <w:p w14:paraId="0700C549">
            <w:pPr>
              <w:spacing w:line="240" w:lineRule="auto"/>
              <w:jc w:val="center"/>
              <w:rPr>
                <w:rFonts w:ascii="宋体" w:hAnsi="宋体"/>
                <w:sz w:val="18"/>
                <w:szCs w:val="18"/>
              </w:rPr>
            </w:pPr>
            <w:r>
              <w:rPr>
                <w:rFonts w:hint="eastAsia" w:ascii="宋体" w:hAnsi="宋体"/>
                <w:sz w:val="18"/>
                <w:szCs w:val="18"/>
              </w:rPr>
              <w:t>＜790或＞840</w:t>
            </w:r>
          </w:p>
        </w:tc>
      </w:tr>
      <w:tr w14:paraId="38DE0745">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782" w:type="dxa"/>
            <w:gridSpan w:val="2"/>
            <w:shd w:val="clear" w:color="auto" w:fill="auto"/>
            <w:vAlign w:val="center"/>
          </w:tcPr>
          <w:p w14:paraId="4E8586CF">
            <w:pPr>
              <w:spacing w:line="240" w:lineRule="auto"/>
              <w:jc w:val="center"/>
              <w:rPr>
                <w:rFonts w:ascii="宋体" w:hAnsi="宋体"/>
                <w:sz w:val="18"/>
                <w:szCs w:val="18"/>
              </w:rPr>
            </w:pPr>
            <w:r>
              <w:rPr>
                <w:rFonts w:hint="eastAsia" w:ascii="宋体" w:hAnsi="宋体"/>
                <w:sz w:val="18"/>
                <w:szCs w:val="18"/>
              </w:rPr>
              <w:t>多环芳烃含量（质量分数）/%            ＞</w:t>
            </w:r>
          </w:p>
        </w:tc>
        <w:tc>
          <w:tcPr>
            <w:tcW w:w="5574" w:type="dxa"/>
            <w:gridSpan w:val="6"/>
            <w:shd w:val="clear" w:color="auto" w:fill="auto"/>
            <w:vAlign w:val="center"/>
          </w:tcPr>
          <w:p w14:paraId="1774894D">
            <w:pPr>
              <w:spacing w:line="240" w:lineRule="auto"/>
              <w:jc w:val="center"/>
              <w:rPr>
                <w:rFonts w:ascii="宋体" w:hAnsi="宋体"/>
                <w:sz w:val="18"/>
                <w:szCs w:val="18"/>
              </w:rPr>
            </w:pPr>
            <w:r>
              <w:rPr>
                <w:rFonts w:hint="eastAsia" w:ascii="宋体" w:hAnsi="宋体"/>
                <w:sz w:val="18"/>
                <w:szCs w:val="18"/>
              </w:rPr>
              <w:t>7</w:t>
            </w:r>
          </w:p>
        </w:tc>
      </w:tr>
      <w:tr w14:paraId="48C9B74C">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782" w:type="dxa"/>
            <w:gridSpan w:val="2"/>
            <w:shd w:val="clear" w:color="auto" w:fill="auto"/>
            <w:vAlign w:val="center"/>
          </w:tcPr>
          <w:p w14:paraId="21A67E4D">
            <w:pPr>
              <w:spacing w:line="240" w:lineRule="auto"/>
              <w:jc w:val="center"/>
              <w:rPr>
                <w:rFonts w:ascii="宋体" w:hAnsi="宋体"/>
                <w:sz w:val="18"/>
                <w:szCs w:val="18"/>
              </w:rPr>
            </w:pPr>
            <w:r>
              <w:rPr>
                <w:rFonts w:hint="eastAsia" w:ascii="宋体" w:hAnsi="宋体"/>
                <w:sz w:val="18"/>
                <w:szCs w:val="18"/>
              </w:rPr>
              <w:t>冷滤点/℃                            ＞</w:t>
            </w:r>
          </w:p>
        </w:tc>
        <w:tc>
          <w:tcPr>
            <w:tcW w:w="929" w:type="dxa"/>
            <w:shd w:val="clear" w:color="auto" w:fill="auto"/>
            <w:vAlign w:val="center"/>
          </w:tcPr>
          <w:p w14:paraId="3E67E191">
            <w:pPr>
              <w:spacing w:line="240" w:lineRule="auto"/>
              <w:jc w:val="center"/>
              <w:rPr>
                <w:rFonts w:ascii="宋体" w:hAnsi="宋体"/>
                <w:sz w:val="18"/>
                <w:szCs w:val="18"/>
              </w:rPr>
            </w:pPr>
            <w:r>
              <w:rPr>
                <w:rFonts w:hint="eastAsia" w:ascii="宋体" w:hAnsi="宋体"/>
                <w:sz w:val="18"/>
                <w:szCs w:val="18"/>
              </w:rPr>
              <w:t>8</w:t>
            </w:r>
          </w:p>
        </w:tc>
        <w:tc>
          <w:tcPr>
            <w:tcW w:w="929" w:type="dxa"/>
            <w:shd w:val="clear" w:color="auto" w:fill="auto"/>
            <w:vAlign w:val="center"/>
          </w:tcPr>
          <w:p w14:paraId="16842FDA">
            <w:pPr>
              <w:spacing w:line="240" w:lineRule="auto"/>
              <w:jc w:val="center"/>
              <w:rPr>
                <w:rFonts w:ascii="宋体" w:hAnsi="宋体"/>
                <w:sz w:val="18"/>
                <w:szCs w:val="18"/>
              </w:rPr>
            </w:pPr>
            <w:r>
              <w:rPr>
                <w:rFonts w:hint="eastAsia" w:ascii="宋体" w:hAnsi="宋体"/>
                <w:sz w:val="18"/>
                <w:szCs w:val="18"/>
              </w:rPr>
              <w:t>4</w:t>
            </w:r>
          </w:p>
        </w:tc>
        <w:tc>
          <w:tcPr>
            <w:tcW w:w="929" w:type="dxa"/>
            <w:shd w:val="clear" w:color="auto" w:fill="auto"/>
            <w:vAlign w:val="center"/>
          </w:tcPr>
          <w:p w14:paraId="5F426EC1">
            <w:pPr>
              <w:spacing w:line="240" w:lineRule="auto"/>
              <w:jc w:val="center"/>
              <w:rPr>
                <w:rFonts w:ascii="宋体" w:hAnsi="宋体"/>
                <w:sz w:val="18"/>
                <w:szCs w:val="18"/>
              </w:rPr>
            </w:pPr>
            <w:r>
              <w:rPr>
                <w:rFonts w:hint="eastAsia" w:ascii="宋体" w:hAnsi="宋体"/>
                <w:sz w:val="18"/>
                <w:szCs w:val="18"/>
              </w:rPr>
              <w:t>-5</w:t>
            </w:r>
          </w:p>
        </w:tc>
        <w:tc>
          <w:tcPr>
            <w:tcW w:w="929" w:type="dxa"/>
            <w:shd w:val="clear" w:color="auto" w:fill="auto"/>
            <w:vAlign w:val="center"/>
          </w:tcPr>
          <w:p w14:paraId="58C1DF08">
            <w:pPr>
              <w:spacing w:line="240" w:lineRule="auto"/>
              <w:jc w:val="center"/>
              <w:rPr>
                <w:rFonts w:ascii="宋体" w:hAnsi="宋体"/>
                <w:sz w:val="18"/>
                <w:szCs w:val="18"/>
              </w:rPr>
            </w:pPr>
            <w:r>
              <w:rPr>
                <w:rFonts w:hint="eastAsia" w:ascii="宋体" w:hAnsi="宋体"/>
                <w:sz w:val="18"/>
                <w:szCs w:val="18"/>
              </w:rPr>
              <w:t>-14</w:t>
            </w:r>
          </w:p>
        </w:tc>
        <w:tc>
          <w:tcPr>
            <w:tcW w:w="929" w:type="dxa"/>
            <w:shd w:val="clear" w:color="auto" w:fill="auto"/>
            <w:vAlign w:val="center"/>
          </w:tcPr>
          <w:p w14:paraId="2B90C0CE">
            <w:pPr>
              <w:spacing w:line="240" w:lineRule="auto"/>
              <w:jc w:val="center"/>
              <w:rPr>
                <w:rFonts w:ascii="宋体" w:hAnsi="宋体"/>
                <w:sz w:val="18"/>
                <w:szCs w:val="18"/>
              </w:rPr>
            </w:pPr>
            <w:r>
              <w:rPr>
                <w:rFonts w:hint="eastAsia" w:ascii="宋体" w:hAnsi="宋体"/>
                <w:sz w:val="18"/>
                <w:szCs w:val="18"/>
              </w:rPr>
              <w:t>-29</w:t>
            </w:r>
          </w:p>
        </w:tc>
        <w:tc>
          <w:tcPr>
            <w:tcW w:w="929" w:type="dxa"/>
            <w:shd w:val="clear" w:color="auto" w:fill="auto"/>
            <w:vAlign w:val="center"/>
          </w:tcPr>
          <w:p w14:paraId="559E1321">
            <w:pPr>
              <w:spacing w:line="240" w:lineRule="auto"/>
              <w:jc w:val="center"/>
              <w:rPr>
                <w:rFonts w:ascii="宋体" w:hAnsi="宋体"/>
                <w:sz w:val="18"/>
                <w:szCs w:val="18"/>
              </w:rPr>
            </w:pPr>
            <w:r>
              <w:rPr>
                <w:rFonts w:hint="eastAsia" w:ascii="宋体" w:hAnsi="宋体"/>
                <w:sz w:val="18"/>
                <w:szCs w:val="18"/>
              </w:rPr>
              <w:t>-44</w:t>
            </w:r>
          </w:p>
        </w:tc>
      </w:tr>
      <w:tr w14:paraId="4BCA821B">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782" w:type="dxa"/>
            <w:gridSpan w:val="2"/>
            <w:shd w:val="clear" w:color="auto" w:fill="auto"/>
            <w:vAlign w:val="center"/>
          </w:tcPr>
          <w:p w14:paraId="32F4CEA8">
            <w:pPr>
              <w:spacing w:line="240" w:lineRule="auto"/>
              <w:jc w:val="center"/>
              <w:rPr>
                <w:rFonts w:ascii="宋体" w:hAnsi="宋体"/>
                <w:sz w:val="18"/>
                <w:szCs w:val="18"/>
              </w:rPr>
            </w:pPr>
            <w:r>
              <w:rPr>
                <w:rFonts w:hint="eastAsia" w:ascii="宋体" w:hAnsi="宋体"/>
                <w:sz w:val="18"/>
                <w:szCs w:val="18"/>
              </w:rPr>
              <w:t>十六烷指数                           ＜</w:t>
            </w:r>
          </w:p>
        </w:tc>
        <w:tc>
          <w:tcPr>
            <w:tcW w:w="3716" w:type="dxa"/>
            <w:gridSpan w:val="4"/>
            <w:shd w:val="clear" w:color="auto" w:fill="auto"/>
            <w:vAlign w:val="center"/>
          </w:tcPr>
          <w:p w14:paraId="295AF5BA">
            <w:pPr>
              <w:spacing w:line="240" w:lineRule="auto"/>
              <w:jc w:val="center"/>
              <w:rPr>
                <w:rFonts w:ascii="宋体" w:hAnsi="宋体"/>
                <w:sz w:val="18"/>
                <w:szCs w:val="18"/>
              </w:rPr>
            </w:pPr>
            <w:r>
              <w:rPr>
                <w:rFonts w:hint="eastAsia" w:ascii="宋体" w:hAnsi="宋体"/>
                <w:sz w:val="18"/>
                <w:szCs w:val="18"/>
              </w:rPr>
              <w:t>46</w:t>
            </w:r>
          </w:p>
        </w:tc>
        <w:tc>
          <w:tcPr>
            <w:tcW w:w="1858" w:type="dxa"/>
            <w:gridSpan w:val="2"/>
            <w:shd w:val="clear" w:color="auto" w:fill="auto"/>
            <w:vAlign w:val="center"/>
          </w:tcPr>
          <w:p w14:paraId="17A0EB1E">
            <w:pPr>
              <w:spacing w:line="240" w:lineRule="auto"/>
              <w:jc w:val="center"/>
              <w:rPr>
                <w:rFonts w:ascii="宋体" w:hAnsi="宋体"/>
                <w:sz w:val="18"/>
                <w:szCs w:val="18"/>
              </w:rPr>
            </w:pPr>
            <w:r>
              <w:rPr>
                <w:rFonts w:hint="eastAsia" w:ascii="宋体" w:hAnsi="宋体"/>
                <w:sz w:val="18"/>
                <w:szCs w:val="18"/>
              </w:rPr>
              <w:t>43</w:t>
            </w:r>
          </w:p>
        </w:tc>
      </w:tr>
      <w:tr w14:paraId="0C6A8447">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1561" w:type="dxa"/>
            <w:vMerge w:val="restart"/>
            <w:shd w:val="clear" w:color="auto" w:fill="auto"/>
            <w:vAlign w:val="center"/>
          </w:tcPr>
          <w:p w14:paraId="325972BB">
            <w:pPr>
              <w:spacing w:line="240" w:lineRule="auto"/>
              <w:rPr>
                <w:rFonts w:ascii="宋体" w:hAnsi="宋体"/>
                <w:sz w:val="18"/>
                <w:szCs w:val="18"/>
              </w:rPr>
            </w:pPr>
            <w:r>
              <w:rPr>
                <w:rFonts w:hint="eastAsia" w:ascii="宋体" w:hAnsi="宋体"/>
                <w:sz w:val="18"/>
                <w:szCs w:val="18"/>
              </w:rPr>
              <w:t>馏程</w:t>
            </w:r>
          </w:p>
        </w:tc>
        <w:tc>
          <w:tcPr>
            <w:tcW w:w="2221" w:type="dxa"/>
            <w:shd w:val="clear" w:color="auto" w:fill="auto"/>
            <w:vAlign w:val="center"/>
          </w:tcPr>
          <w:p w14:paraId="5CDBE888">
            <w:pPr>
              <w:spacing w:line="240" w:lineRule="auto"/>
              <w:jc w:val="center"/>
              <w:rPr>
                <w:rFonts w:ascii="宋体" w:hAnsi="宋体"/>
                <w:sz w:val="18"/>
                <w:szCs w:val="18"/>
              </w:rPr>
            </w:pPr>
            <w:r>
              <w:rPr>
                <w:rFonts w:hint="eastAsia" w:ascii="宋体" w:hAnsi="宋体"/>
                <w:sz w:val="18"/>
                <w:szCs w:val="18"/>
              </w:rPr>
              <w:t>50%回收温度/℃      ＞</w:t>
            </w:r>
          </w:p>
        </w:tc>
        <w:tc>
          <w:tcPr>
            <w:tcW w:w="5574" w:type="dxa"/>
            <w:gridSpan w:val="6"/>
            <w:shd w:val="clear" w:color="auto" w:fill="auto"/>
            <w:vAlign w:val="center"/>
          </w:tcPr>
          <w:p w14:paraId="5C824171">
            <w:pPr>
              <w:spacing w:line="240" w:lineRule="auto"/>
              <w:jc w:val="center"/>
              <w:rPr>
                <w:rFonts w:ascii="宋体" w:hAnsi="宋体"/>
                <w:sz w:val="18"/>
                <w:szCs w:val="18"/>
              </w:rPr>
            </w:pPr>
            <w:r>
              <w:rPr>
                <w:rFonts w:hint="eastAsia" w:ascii="宋体" w:hAnsi="宋体"/>
                <w:sz w:val="18"/>
                <w:szCs w:val="18"/>
              </w:rPr>
              <w:t>300</w:t>
            </w:r>
          </w:p>
        </w:tc>
      </w:tr>
      <w:tr w14:paraId="4C13AD2C">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1561" w:type="dxa"/>
            <w:vMerge w:val="continue"/>
            <w:shd w:val="clear" w:color="auto" w:fill="auto"/>
            <w:vAlign w:val="center"/>
          </w:tcPr>
          <w:p w14:paraId="56D2A038">
            <w:pPr>
              <w:spacing w:line="240" w:lineRule="auto"/>
              <w:jc w:val="center"/>
              <w:rPr>
                <w:rFonts w:ascii="宋体" w:hAnsi="宋体"/>
                <w:sz w:val="18"/>
                <w:szCs w:val="18"/>
              </w:rPr>
            </w:pPr>
          </w:p>
        </w:tc>
        <w:tc>
          <w:tcPr>
            <w:tcW w:w="2221" w:type="dxa"/>
            <w:shd w:val="clear" w:color="auto" w:fill="auto"/>
            <w:vAlign w:val="center"/>
          </w:tcPr>
          <w:p w14:paraId="11DD8658">
            <w:pPr>
              <w:spacing w:line="240" w:lineRule="auto"/>
              <w:jc w:val="center"/>
              <w:rPr>
                <w:rFonts w:ascii="宋体" w:hAnsi="宋体"/>
                <w:sz w:val="18"/>
                <w:szCs w:val="18"/>
              </w:rPr>
            </w:pPr>
            <w:r>
              <w:rPr>
                <w:rFonts w:hint="eastAsia" w:ascii="宋体" w:hAnsi="宋体"/>
                <w:sz w:val="18"/>
                <w:szCs w:val="18"/>
              </w:rPr>
              <w:t>90%回收温度/℃      ＞</w:t>
            </w:r>
          </w:p>
        </w:tc>
        <w:tc>
          <w:tcPr>
            <w:tcW w:w="5574" w:type="dxa"/>
            <w:gridSpan w:val="6"/>
            <w:shd w:val="clear" w:color="auto" w:fill="auto"/>
            <w:vAlign w:val="center"/>
          </w:tcPr>
          <w:p w14:paraId="13EA81B5">
            <w:pPr>
              <w:spacing w:line="240" w:lineRule="auto"/>
              <w:jc w:val="center"/>
              <w:rPr>
                <w:rFonts w:ascii="宋体" w:hAnsi="宋体"/>
                <w:sz w:val="18"/>
                <w:szCs w:val="18"/>
              </w:rPr>
            </w:pPr>
            <w:r>
              <w:rPr>
                <w:rFonts w:hint="eastAsia" w:ascii="宋体" w:hAnsi="宋体"/>
                <w:sz w:val="18"/>
                <w:szCs w:val="18"/>
              </w:rPr>
              <w:t>355</w:t>
            </w:r>
          </w:p>
        </w:tc>
      </w:tr>
      <w:tr w14:paraId="28513164">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1561" w:type="dxa"/>
            <w:vMerge w:val="continue"/>
            <w:tcBorders>
              <w:bottom w:val="single" w:color="000000" w:themeColor="text1" w:sz="4" w:space="0"/>
            </w:tcBorders>
            <w:shd w:val="clear" w:color="auto" w:fill="auto"/>
            <w:vAlign w:val="center"/>
          </w:tcPr>
          <w:p w14:paraId="25BD4E9F">
            <w:pPr>
              <w:spacing w:line="240" w:lineRule="auto"/>
              <w:jc w:val="center"/>
              <w:rPr>
                <w:rFonts w:ascii="宋体" w:hAnsi="宋体"/>
                <w:sz w:val="18"/>
                <w:szCs w:val="18"/>
              </w:rPr>
            </w:pPr>
          </w:p>
        </w:tc>
        <w:tc>
          <w:tcPr>
            <w:tcW w:w="2221" w:type="dxa"/>
            <w:tcBorders>
              <w:bottom w:val="single" w:color="000000" w:themeColor="text1" w:sz="4" w:space="0"/>
            </w:tcBorders>
            <w:shd w:val="clear" w:color="auto" w:fill="auto"/>
            <w:vAlign w:val="center"/>
          </w:tcPr>
          <w:p w14:paraId="1E69456F">
            <w:pPr>
              <w:spacing w:line="240" w:lineRule="auto"/>
              <w:jc w:val="center"/>
              <w:rPr>
                <w:rFonts w:ascii="宋体" w:hAnsi="宋体"/>
                <w:sz w:val="18"/>
                <w:szCs w:val="18"/>
              </w:rPr>
            </w:pPr>
            <w:r>
              <w:rPr>
                <w:rFonts w:hint="eastAsia" w:ascii="宋体" w:hAnsi="宋体"/>
                <w:sz w:val="18"/>
                <w:szCs w:val="18"/>
              </w:rPr>
              <w:t>95%回收温度/℃      ＞</w:t>
            </w:r>
          </w:p>
        </w:tc>
        <w:tc>
          <w:tcPr>
            <w:tcW w:w="5574" w:type="dxa"/>
            <w:gridSpan w:val="6"/>
            <w:tcBorders>
              <w:bottom w:val="single" w:color="000000" w:themeColor="text1" w:sz="4" w:space="0"/>
            </w:tcBorders>
            <w:shd w:val="clear" w:color="auto" w:fill="auto"/>
            <w:vAlign w:val="center"/>
          </w:tcPr>
          <w:p w14:paraId="4FF61DC7">
            <w:pPr>
              <w:spacing w:line="240" w:lineRule="auto"/>
              <w:jc w:val="center"/>
              <w:rPr>
                <w:rFonts w:ascii="宋体" w:hAnsi="宋体"/>
                <w:sz w:val="18"/>
                <w:szCs w:val="18"/>
              </w:rPr>
            </w:pPr>
            <w:r>
              <w:rPr>
                <w:rFonts w:hint="eastAsia" w:ascii="宋体" w:hAnsi="宋体"/>
                <w:sz w:val="18"/>
                <w:szCs w:val="18"/>
              </w:rPr>
              <w:t>365</w:t>
            </w:r>
          </w:p>
        </w:tc>
      </w:tr>
      <w:tr w14:paraId="4FD559F1">
        <w:tblPrEx>
          <w:tblBorders>
            <w:top w:val="single" w:color="auto" w:sz="12" w:space="0"/>
            <w:left w:val="single" w:color="auto" w:sz="12" w:space="0"/>
            <w:bottom w:val="single" w:color="auto" w:sz="12" w:space="0"/>
            <w:right w:val="single" w:color="auto"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782" w:type="dxa"/>
            <w:gridSpan w:val="2"/>
            <w:tcBorders>
              <w:top w:val="single" w:color="000000" w:themeColor="text1" w:sz="4" w:space="0"/>
              <w:bottom w:val="single" w:color="000000" w:themeColor="text1" w:sz="12" w:space="0"/>
            </w:tcBorders>
            <w:shd w:val="clear" w:color="auto" w:fill="auto"/>
            <w:vAlign w:val="center"/>
          </w:tcPr>
          <w:p w14:paraId="38B83FC9">
            <w:pPr>
              <w:spacing w:line="240" w:lineRule="auto"/>
              <w:jc w:val="center"/>
              <w:rPr>
                <w:rFonts w:ascii="宋体" w:hAnsi="宋体"/>
                <w:sz w:val="18"/>
                <w:szCs w:val="18"/>
              </w:rPr>
            </w:pPr>
            <w:r>
              <w:rPr>
                <w:rFonts w:hint="eastAsia" w:ascii="宋体" w:hAnsi="宋体"/>
                <w:sz w:val="18"/>
                <w:szCs w:val="18"/>
              </w:rPr>
              <w:t>脂肪酸甲酯含量（体积分数），%          ＞</w:t>
            </w:r>
          </w:p>
        </w:tc>
        <w:tc>
          <w:tcPr>
            <w:tcW w:w="5574" w:type="dxa"/>
            <w:gridSpan w:val="6"/>
            <w:tcBorders>
              <w:top w:val="single" w:color="000000" w:themeColor="text1" w:sz="4" w:space="0"/>
              <w:bottom w:val="single" w:color="000000" w:themeColor="text1" w:sz="12" w:space="0"/>
            </w:tcBorders>
            <w:shd w:val="clear" w:color="auto" w:fill="auto"/>
            <w:vAlign w:val="center"/>
          </w:tcPr>
          <w:p w14:paraId="65B4DADC">
            <w:pPr>
              <w:spacing w:line="240" w:lineRule="auto"/>
              <w:jc w:val="center"/>
              <w:rPr>
                <w:rFonts w:ascii="宋体" w:hAnsi="宋体"/>
                <w:sz w:val="18"/>
                <w:szCs w:val="18"/>
              </w:rPr>
            </w:pPr>
            <w:r>
              <w:rPr>
                <w:rFonts w:hint="eastAsia" w:ascii="宋体" w:hAnsi="宋体"/>
                <w:sz w:val="18"/>
                <w:szCs w:val="18"/>
              </w:rPr>
              <w:t>1.0</w:t>
            </w:r>
          </w:p>
        </w:tc>
      </w:tr>
    </w:tbl>
    <w:p w14:paraId="67B9C0E8">
      <w:pPr>
        <w:pStyle w:val="104"/>
        <w:spacing w:before="312" w:after="312"/>
        <w:rPr>
          <w:szCs w:val="21"/>
        </w:rPr>
      </w:pPr>
      <w:r>
        <w:rPr>
          <w:rFonts w:hint="eastAsia"/>
          <w:szCs w:val="21"/>
        </w:rPr>
        <w:t>取样</w:t>
      </w:r>
    </w:p>
    <w:p w14:paraId="0AD5406B">
      <w:pPr>
        <w:pStyle w:val="232"/>
        <w:spacing w:beforeLines="100" w:afterLines="100" w:line="140" w:lineRule="atLeast"/>
        <w:ind w:firstLine="424" w:firstLineChars="202"/>
        <w:rPr>
          <w:rFonts w:ascii="宋体" w:hAnsi="宋体" w:eastAsia="宋体"/>
        </w:rPr>
      </w:pPr>
      <w:r>
        <w:rPr>
          <w:rFonts w:hint="eastAsia" w:ascii="宋体" w:hAnsi="宋体" w:eastAsia="宋体"/>
        </w:rPr>
        <w:t>按照GB/T 4756的规定，抽取样品2份，每份200mL～300mL，1份用于快速筛查、1份用于留样。</w:t>
      </w:r>
    </w:p>
    <w:p w14:paraId="408AF8D4">
      <w:pPr>
        <w:pStyle w:val="104"/>
        <w:spacing w:before="312" w:after="312"/>
        <w:rPr>
          <w:szCs w:val="21"/>
        </w:rPr>
      </w:pPr>
      <w:r>
        <w:rPr>
          <w:rFonts w:hint="eastAsia"/>
          <w:szCs w:val="21"/>
        </w:rPr>
        <w:t>快速筛查方法</w:t>
      </w:r>
    </w:p>
    <w:p w14:paraId="3B7E358C">
      <w:pPr>
        <w:pStyle w:val="105"/>
        <w:spacing w:before="156" w:after="156"/>
      </w:pPr>
      <w:r>
        <w:rPr>
          <w:rFonts w:hint="eastAsia"/>
        </w:rPr>
        <w:t>硫含量</w:t>
      </w:r>
    </w:p>
    <w:p w14:paraId="357520D2">
      <w:pPr>
        <w:pStyle w:val="230"/>
        <w:ind w:firstLine="420"/>
      </w:pPr>
      <w:r>
        <w:rPr>
          <w:rFonts w:hint="eastAsia"/>
        </w:rPr>
        <w:t>按NB/SH/T 0842规定执行。</w:t>
      </w:r>
    </w:p>
    <w:p w14:paraId="30842464">
      <w:pPr>
        <w:pStyle w:val="105"/>
        <w:spacing w:before="156" w:after="156"/>
      </w:pPr>
      <w:r>
        <w:rPr>
          <w:rFonts w:hint="eastAsia"/>
        </w:rPr>
        <w:t>闪点（闭口）</w:t>
      </w:r>
    </w:p>
    <w:p w14:paraId="6A2895DC">
      <w:pPr>
        <w:pStyle w:val="230"/>
        <w:ind w:firstLine="420"/>
      </w:pPr>
      <w:r>
        <w:rPr>
          <w:rFonts w:hint="eastAsia"/>
        </w:rPr>
        <w:t>按SH/T 0768规定执行，也可采用GB/T 261进行测定。</w:t>
      </w:r>
    </w:p>
    <w:p w14:paraId="03CE1CC8">
      <w:pPr>
        <w:pStyle w:val="105"/>
        <w:spacing w:before="156" w:after="156"/>
      </w:pPr>
      <w:r>
        <w:rPr>
          <w:rFonts w:hint="eastAsia"/>
        </w:rPr>
        <w:t>密度</w:t>
      </w:r>
    </w:p>
    <w:p w14:paraId="4CC9BDAD">
      <w:pPr>
        <w:pStyle w:val="230"/>
        <w:ind w:firstLine="420"/>
      </w:pPr>
      <w:r>
        <w:rPr>
          <w:rFonts w:hint="eastAsia"/>
        </w:rPr>
        <w:t>按SH/T 0604规定执行。</w:t>
      </w:r>
    </w:p>
    <w:p w14:paraId="3171E12A">
      <w:pPr>
        <w:pStyle w:val="105"/>
        <w:spacing w:before="156" w:after="156"/>
      </w:pPr>
      <w:r>
        <w:rPr>
          <w:rFonts w:hint="eastAsia"/>
        </w:rPr>
        <w:t>多环芳烃含量、冷滤点、十六烷指数、馏程、脂肪酸甲酯含量</w:t>
      </w:r>
    </w:p>
    <w:p w14:paraId="2ADDF3DE">
      <w:pPr>
        <w:pStyle w:val="230"/>
        <w:autoSpaceDE/>
        <w:ind w:firstLine="420"/>
      </w:pPr>
      <w:r>
        <w:rPr>
          <w:rFonts w:hint="eastAsia"/>
        </w:rPr>
        <w:t>按附录A或附录B规定执行。</w:t>
      </w:r>
    </w:p>
    <w:p w14:paraId="139E99BC">
      <w:pPr>
        <w:pStyle w:val="104"/>
        <w:spacing w:before="312" w:after="312"/>
        <w:rPr>
          <w:szCs w:val="21"/>
        </w:rPr>
      </w:pPr>
      <w:r>
        <w:rPr>
          <w:rFonts w:hint="eastAsia"/>
          <w:szCs w:val="21"/>
        </w:rPr>
        <w:t>载具和设备要求</w:t>
      </w:r>
    </w:p>
    <w:p w14:paraId="1E31F333">
      <w:pPr>
        <w:pStyle w:val="162"/>
      </w:pPr>
      <w:r>
        <w:rPr>
          <w:rFonts w:hint="eastAsia"/>
        </w:rPr>
        <w:t>载具（如检测车）和设备应满足抗冲击和抗震动的要求。</w:t>
      </w:r>
    </w:p>
    <w:p w14:paraId="27ABBDE8">
      <w:pPr>
        <w:pStyle w:val="162"/>
      </w:pPr>
      <w:r>
        <w:rPr>
          <w:rFonts w:hint="eastAsia"/>
        </w:rPr>
        <w:t>载具配置的电源、通风、消防、环境控制等设施应满足检验要求，能够保证检测设备的稳定性、可靠性，并符合加油站（点）及储油库等场所的安全要求。</w:t>
      </w:r>
    </w:p>
    <w:p w14:paraId="65E4E23D">
      <w:pPr>
        <w:pStyle w:val="162"/>
      </w:pPr>
      <w:r>
        <w:rPr>
          <w:rFonts w:hint="eastAsia"/>
        </w:rPr>
        <w:t>设备应通过检定、校准等方式，保证其稳定性和可靠性。</w:t>
      </w:r>
    </w:p>
    <w:p w14:paraId="22AE52C2">
      <w:pPr>
        <w:pStyle w:val="104"/>
        <w:spacing w:before="312" w:after="312"/>
        <w:rPr>
          <w:szCs w:val="21"/>
        </w:rPr>
      </w:pPr>
      <w:r>
        <w:rPr>
          <w:rFonts w:hint="eastAsia"/>
          <w:szCs w:val="21"/>
        </w:rPr>
        <w:t>快速筛查结果</w:t>
      </w:r>
    </w:p>
    <w:p w14:paraId="6B40B33E">
      <w:pPr>
        <w:pStyle w:val="162"/>
      </w:pPr>
      <w:r>
        <w:rPr>
          <w:rFonts w:hint="eastAsia"/>
        </w:rPr>
        <w:t>快速筛查结果不在表1规定的阈值内，快速筛查结果为通过。</w:t>
      </w:r>
    </w:p>
    <w:p w14:paraId="2718DF19">
      <w:pPr>
        <w:pStyle w:val="162"/>
      </w:pPr>
      <w:r>
        <w:rPr>
          <w:rFonts w:hint="eastAsia"/>
        </w:rPr>
        <w:t>快速筛查结果有一项或一项以上在表1规定的阈值内，快速筛查结果为可疑，按GB 19147的规定进行取样检验。</w:t>
      </w:r>
    </w:p>
    <w:p w14:paraId="20BF6375">
      <w:pPr>
        <w:pStyle w:val="104"/>
        <w:spacing w:before="312" w:after="312"/>
        <w:rPr>
          <w:szCs w:val="21"/>
        </w:rPr>
      </w:pPr>
      <w:r>
        <w:rPr>
          <w:rFonts w:hint="eastAsia"/>
          <w:szCs w:val="21"/>
        </w:rPr>
        <w:t>质量保证</w:t>
      </w:r>
    </w:p>
    <w:p w14:paraId="6502FC05">
      <w:pPr>
        <w:pStyle w:val="162"/>
      </w:pPr>
      <w:r>
        <w:rPr>
          <w:rFonts w:hint="eastAsia"/>
        </w:rPr>
        <w:t>应由取得GB 19147资质认定的检验检测机构对快速筛查方法的准确性进行验证评估，每半年不少于一次。</w:t>
      </w:r>
    </w:p>
    <w:p w14:paraId="01D7F2DB">
      <w:pPr>
        <w:pStyle w:val="162"/>
      </w:pPr>
      <w:r>
        <w:rPr>
          <w:rFonts w:hint="eastAsia"/>
        </w:rPr>
        <w:t>快速筛查方法与GB 19147标准规定试验方法进行检测数据的比对评估，评估结果应满足GB 19147中相应试验方法的再现性要求。</w:t>
      </w:r>
    </w:p>
    <w:p w14:paraId="2F6BA013">
      <w:pPr>
        <w:pStyle w:val="56"/>
        <w:ind w:firstLine="420"/>
      </w:pPr>
    </w:p>
    <w:p w14:paraId="1240AEB0">
      <w:pPr>
        <w:pStyle w:val="56"/>
        <w:ind w:firstLine="420"/>
      </w:pPr>
    </w:p>
    <w:p w14:paraId="3500E1D2">
      <w:pPr>
        <w:pStyle w:val="56"/>
        <w:ind w:firstLine="420"/>
      </w:pPr>
    </w:p>
    <w:bookmarkEnd w:id="22"/>
    <w:p w14:paraId="3A0D8E00">
      <w:bookmarkStart w:id="45" w:name="BookMark5"/>
      <w:r>
        <w:br w:type="page"/>
      </w:r>
    </w:p>
    <w:p w14:paraId="6D5D8878">
      <w:pPr>
        <w:pStyle w:val="76"/>
        <w:spacing w:after="156"/>
      </w:pPr>
      <w:bookmarkStart w:id="47" w:name="_GoBack"/>
      <w:bookmarkEnd w:id="47"/>
      <w:r>
        <w:br w:type="textWrapping"/>
      </w:r>
      <w:r>
        <w:rPr>
          <w:rFonts w:hint="eastAsia"/>
        </w:rPr>
        <w:t>（规范性）</w:t>
      </w:r>
      <w:r>
        <w:br w:type="textWrapping"/>
      </w:r>
      <w:r>
        <w:rPr>
          <w:rFonts w:hint="eastAsia"/>
        </w:rPr>
        <w:t>车用柴油中多环芳烃含量、冷滤点、十六烷指数、馏程、脂肪酸甲酯含量的测定 近红外光谱法</w:t>
      </w:r>
    </w:p>
    <w:p w14:paraId="78831BAD">
      <w:pPr>
        <w:pStyle w:val="78"/>
        <w:spacing w:before="156" w:after="156"/>
        <w:ind w:left="0"/>
      </w:pPr>
      <w:r>
        <w:rPr>
          <w:rFonts w:hint="eastAsia"/>
        </w:rPr>
        <w:t>原理</w:t>
      </w:r>
    </w:p>
    <w:p w14:paraId="58285C53">
      <w:pPr>
        <w:pStyle w:val="230"/>
        <w:ind w:firstLine="420"/>
      </w:pPr>
      <w:r>
        <w:rPr>
          <w:rFonts w:hint="eastAsia"/>
        </w:rPr>
        <w:t>近红外光谱是介于可见光和</w:t>
      </w:r>
      <w:r>
        <w:fldChar w:fldCharType="begin"/>
      </w:r>
      <w:r>
        <w:instrText xml:space="preserve"> HYPERLINK "https://baike.baidu.com/item/%E4%B8%AD%E7%BA%A2%E5%A4%96/5133220" </w:instrText>
      </w:r>
      <w:r>
        <w:fldChar w:fldCharType="separate"/>
      </w:r>
      <w:r>
        <w:rPr>
          <w:rStyle w:val="32"/>
          <w:rFonts w:hint="eastAsia"/>
        </w:rPr>
        <w:t>中红外</w:t>
      </w:r>
      <w:r>
        <w:rPr>
          <w:rStyle w:val="32"/>
          <w:rFonts w:hint="eastAsia"/>
        </w:rPr>
        <w:fldChar w:fldCharType="end"/>
      </w:r>
      <w:r>
        <w:rPr>
          <w:rFonts w:hint="eastAsia"/>
        </w:rPr>
        <w:t>之间的电磁辐射波，近红外光谱吸收带由</w:t>
      </w:r>
      <w:r>
        <w:fldChar w:fldCharType="begin"/>
      </w:r>
      <w:r>
        <w:instrText xml:space="preserve"> HYPERLINK "https://baike.baidu.com/item/%E6%9C%89%E6%9C%BA%E5%88%86%E5%AD%90/8440458" </w:instrText>
      </w:r>
      <w:r>
        <w:fldChar w:fldCharType="separate"/>
      </w:r>
      <w:r>
        <w:rPr>
          <w:rStyle w:val="32"/>
          <w:rFonts w:hint="eastAsia"/>
        </w:rPr>
        <w:t>有机分子</w:t>
      </w:r>
      <w:r>
        <w:rPr>
          <w:rStyle w:val="32"/>
          <w:rFonts w:hint="eastAsia"/>
        </w:rPr>
        <w:fldChar w:fldCharType="end"/>
      </w:r>
      <w:r>
        <w:rPr>
          <w:rFonts w:hint="eastAsia"/>
        </w:rPr>
        <w:t>中能量较高的化学键（主要是C-H、O-H、N-H）在近红外光谱区基频吸收的倍频、合频叠加而成。通过扫描定标样品集的近红外光谱，利用偏最小二乘回归法等现代化学计量学方法，建立光谱与柴油主要技术指标的定标模型，再对柴油样品进行扫描，从而实现利用红外光谱信息对样品的多环芳烃含量、冷滤点、十六烷指数、馏程、脂肪酸甲酯含量进行快速测定。</w:t>
      </w:r>
    </w:p>
    <w:p w14:paraId="1195734D">
      <w:pPr>
        <w:pStyle w:val="78"/>
        <w:spacing w:before="156" w:after="156"/>
        <w:ind w:left="0"/>
      </w:pPr>
      <w:r>
        <w:rPr>
          <w:rFonts w:hint="eastAsia"/>
        </w:rPr>
        <w:t>仪器设备</w:t>
      </w:r>
    </w:p>
    <w:p w14:paraId="30A1E35B">
      <w:pPr>
        <w:pStyle w:val="79"/>
        <w:spacing w:before="156" w:after="156"/>
      </w:pPr>
      <w:r>
        <w:rPr>
          <w:rFonts w:hint="eastAsia"/>
        </w:rPr>
        <w:t>傅立叶变换近红外光谱仪</w:t>
      </w:r>
    </w:p>
    <w:p w14:paraId="39B88D1C">
      <w:pPr>
        <w:pStyle w:val="56"/>
        <w:ind w:firstLine="420"/>
      </w:pPr>
      <w:r>
        <w:rPr>
          <w:rFonts w:hint="eastAsia"/>
        </w:rPr>
        <w:t>适用于本文件的仪器应满足扫描范围12500cm</w:t>
      </w:r>
      <w:r>
        <w:rPr>
          <w:rFonts w:hint="eastAsia"/>
          <w:vertAlign w:val="superscript"/>
        </w:rPr>
        <w:t>-1</w:t>
      </w:r>
      <w:r>
        <w:rPr>
          <w:rFonts w:hint="eastAsia"/>
        </w:rPr>
        <w:t>～4000cm</w:t>
      </w:r>
      <w:r>
        <w:rPr>
          <w:rFonts w:hint="eastAsia"/>
          <w:vertAlign w:val="superscript"/>
        </w:rPr>
        <w:t>-1</w:t>
      </w:r>
      <w:r>
        <w:rPr>
          <w:rFonts w:hint="eastAsia"/>
        </w:rPr>
        <w:t>，分辨率优于2cm</w:t>
      </w:r>
      <w:r>
        <w:rPr>
          <w:rFonts w:hint="eastAsia"/>
          <w:vertAlign w:val="superscript"/>
        </w:rPr>
        <w:t>-1</w:t>
      </w:r>
      <w:r>
        <w:rPr>
          <w:rFonts w:hint="eastAsia"/>
        </w:rPr>
        <w:t>，波数准确度优于±0.03cm</w:t>
      </w:r>
      <w:r>
        <w:rPr>
          <w:rFonts w:hint="eastAsia"/>
          <w:vertAlign w:val="superscript"/>
        </w:rPr>
        <w:t>-1</w:t>
      </w:r>
      <w:r>
        <w:rPr>
          <w:rFonts w:hint="eastAsia"/>
        </w:rPr>
        <w:t>，</w:t>
      </w:r>
      <w:r>
        <w:rPr>
          <w:rFonts w:hint="eastAsia" w:hAnsi="宋体" w:cs="宋体"/>
          <w:szCs w:val="21"/>
        </w:rPr>
        <w:t>波数重复性优于0.05cm</w:t>
      </w:r>
      <w:r>
        <w:rPr>
          <w:rFonts w:hint="eastAsia" w:hAnsi="宋体" w:cs="宋体"/>
          <w:szCs w:val="21"/>
          <w:vertAlign w:val="superscript"/>
        </w:rPr>
        <w:t>-1</w:t>
      </w:r>
      <w:r>
        <w:rPr>
          <w:rFonts w:hint="eastAsia" w:hAnsi="宋体" w:cs="宋体"/>
          <w:szCs w:val="21"/>
        </w:rPr>
        <w:t>、扫描速度优于5次/秒；至少应包括一个红外光源、样品池、检测器、计算机，光谱系统配备有平面镜电磁式动态准直干涉仪。</w:t>
      </w:r>
    </w:p>
    <w:p w14:paraId="27A6A7D2">
      <w:pPr>
        <w:pStyle w:val="79"/>
        <w:spacing w:before="156" w:after="156"/>
      </w:pPr>
      <w:r>
        <w:rPr>
          <w:rFonts w:hint="eastAsia"/>
        </w:rPr>
        <w:t>化学计量学软件</w:t>
      </w:r>
    </w:p>
    <w:p w14:paraId="08F9E7B4">
      <w:pPr>
        <w:pStyle w:val="212"/>
        <w:numPr>
          <w:ilvl w:val="0"/>
          <w:numId w:val="0"/>
        </w:numPr>
        <w:ind w:firstLine="424" w:firstLineChars="202"/>
      </w:pPr>
      <w:r>
        <w:rPr>
          <w:rFonts w:hint="eastAsia"/>
        </w:rPr>
        <w:t>近红外光谱仪配置的化学计量学软件至少应含PLS（偏最小二乘法）多元校正算法，具有近红外光谱数据的收集、存储分析和计算功能，可采用马氏距离、光谱参差、最邻近距离等判断样品的异常性以保障定标模型预测的可靠性和特异性样品的识别。</w:t>
      </w:r>
    </w:p>
    <w:p w14:paraId="2E318415">
      <w:pPr>
        <w:pStyle w:val="78"/>
        <w:spacing w:before="156" w:after="156"/>
        <w:ind w:left="0"/>
      </w:pPr>
      <w:r>
        <w:rPr>
          <w:rFonts w:hint="eastAsia"/>
        </w:rPr>
        <w:t>定标模型的验证</w:t>
      </w:r>
    </w:p>
    <w:p w14:paraId="6FA750AB">
      <w:pPr>
        <w:pStyle w:val="79"/>
        <w:spacing w:before="156" w:after="156"/>
      </w:pPr>
      <w:r>
        <w:rPr>
          <w:rFonts w:hint="eastAsia"/>
        </w:rPr>
        <w:t>仪器准备</w:t>
      </w:r>
    </w:p>
    <w:p w14:paraId="324FC7EE">
      <w:pPr>
        <w:pStyle w:val="230"/>
        <w:ind w:firstLine="420"/>
      </w:pPr>
      <w:r>
        <w:rPr>
          <w:rFonts w:hint="eastAsia"/>
        </w:rPr>
        <w:t>按照仪器操作手册设定仪器参数。</w:t>
      </w:r>
    </w:p>
    <w:p w14:paraId="69F5F4EA">
      <w:pPr>
        <w:pStyle w:val="230"/>
        <w:ind w:firstLine="420"/>
      </w:pPr>
      <w:r>
        <w:rPr>
          <w:rFonts w:hint="eastAsia"/>
        </w:rPr>
        <w:t>扫描波数范围：12500cm</w:t>
      </w:r>
      <w:r>
        <w:rPr>
          <w:rFonts w:hint="eastAsia"/>
          <w:vertAlign w:val="superscript"/>
        </w:rPr>
        <w:t>-1</w:t>
      </w:r>
      <w:r>
        <w:rPr>
          <w:rFonts w:hint="eastAsia"/>
        </w:rPr>
        <w:t>～4000cm</w:t>
      </w:r>
      <w:r>
        <w:rPr>
          <w:rFonts w:hint="eastAsia"/>
          <w:vertAlign w:val="superscript"/>
        </w:rPr>
        <w:t>-1</w:t>
      </w:r>
      <w:r>
        <w:rPr>
          <w:rFonts w:hint="eastAsia"/>
        </w:rPr>
        <w:t>，按选择的波数范围进行设定。</w:t>
      </w:r>
    </w:p>
    <w:p w14:paraId="411AE8E8">
      <w:pPr>
        <w:pStyle w:val="230"/>
        <w:ind w:firstLine="420"/>
      </w:pPr>
      <w:r>
        <w:rPr>
          <w:rFonts w:hint="eastAsia"/>
        </w:rPr>
        <w:t>扫描平均次数：32次。</w:t>
      </w:r>
    </w:p>
    <w:p w14:paraId="47A520EA">
      <w:pPr>
        <w:pStyle w:val="230"/>
        <w:ind w:firstLine="420"/>
      </w:pPr>
      <w:r>
        <w:rPr>
          <w:rFonts w:hint="eastAsia"/>
        </w:rPr>
        <w:t>测定定标集样品、验证集样品和待测试样时仪器参数应一致。</w:t>
      </w:r>
    </w:p>
    <w:p w14:paraId="43756829">
      <w:pPr>
        <w:pStyle w:val="79"/>
        <w:spacing w:before="156" w:after="156"/>
      </w:pPr>
      <w:r>
        <w:rPr>
          <w:rFonts w:hint="eastAsia"/>
        </w:rPr>
        <w:t>验证集样品的标准测定值</w:t>
      </w:r>
    </w:p>
    <w:p w14:paraId="6FD20116">
      <w:pPr>
        <w:pStyle w:val="230"/>
        <w:ind w:firstLine="420"/>
        <w:rPr>
          <w:rFonts w:hint="eastAsia"/>
        </w:rPr>
      </w:pPr>
      <w:r>
        <w:rPr>
          <w:rFonts w:hint="eastAsia"/>
        </w:rPr>
        <w:t>按照表A.1规定的标准试验方法，测定验证集样品的各项质量指标，得到标准测定值。</w:t>
      </w:r>
    </w:p>
    <w:p w14:paraId="6EB80D78">
      <w:pPr>
        <w:pStyle w:val="79"/>
        <w:spacing w:before="156" w:after="156"/>
      </w:pPr>
      <w:r>
        <w:rPr>
          <w:rFonts w:hint="eastAsia"/>
        </w:rPr>
        <w:t>光谱数据采集</w:t>
      </w:r>
    </w:p>
    <w:p w14:paraId="6A760284">
      <w:pPr>
        <w:pStyle w:val="230"/>
        <w:ind w:firstLine="420"/>
      </w:pPr>
      <w:r>
        <w:rPr>
          <w:rFonts w:hint="eastAsia"/>
        </w:rPr>
        <w:t>以空气为参比，采集背景光谱。样品摇匀后，移取样品置入样品池中，样品注入量满足样品池要求，并确保光束有效通过样品池且无气泡存在，测量样品光谱。</w:t>
      </w:r>
    </w:p>
    <w:p w14:paraId="20B5EE65">
      <w:pPr>
        <w:pStyle w:val="79"/>
        <w:spacing w:before="156" w:after="156"/>
      </w:pPr>
      <w:r>
        <w:rPr>
          <w:rFonts w:hint="eastAsia"/>
        </w:rPr>
        <w:t>定标模型验证</w:t>
      </w:r>
    </w:p>
    <w:p w14:paraId="5C8CFACB">
      <w:pPr>
        <w:pStyle w:val="230"/>
        <w:ind w:firstLine="420"/>
        <w:jc w:val="left"/>
      </w:pPr>
      <w:r>
        <w:rPr>
          <w:rFonts w:hint="eastAsia"/>
        </w:rPr>
        <w:t>使用验证集样品（不包含定标样品）验证定标模型的准确性，采集样品的吸收光谱数据，利用定标模型检测样品的各项质量指标，与A.3.2规定的标准试验方法的测定值进行比对，两个结果之差应满足表A.2准确性的要求；验证样品重复多次测定的结果应满足表A.2重复性的要求。</w:t>
      </w:r>
    </w:p>
    <w:p w14:paraId="247F1C25">
      <w:pPr>
        <w:pStyle w:val="230"/>
        <w:ind w:firstLine="420"/>
      </w:pPr>
      <w:r>
        <w:br w:type="page"/>
      </w:r>
    </w:p>
    <w:p w14:paraId="37028DA7">
      <w:pPr>
        <w:pStyle w:val="77"/>
        <w:spacing w:before="156" w:after="156"/>
      </w:pPr>
      <w:r>
        <w:rPr>
          <w:rFonts w:hint="eastAsia"/>
        </w:rPr>
        <w:t>标准试验方法</w:t>
      </w:r>
    </w:p>
    <w:tbl>
      <w:tblPr>
        <w:tblStyle w:val="26"/>
        <w:tblW w:w="9374" w:type="dxa"/>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fixed"/>
        <w:tblCellMar>
          <w:top w:w="0" w:type="dxa"/>
          <w:left w:w="0" w:type="dxa"/>
          <w:bottom w:w="0" w:type="dxa"/>
          <w:right w:w="0" w:type="dxa"/>
        </w:tblCellMar>
      </w:tblPr>
      <w:tblGrid>
        <w:gridCol w:w="4687"/>
        <w:gridCol w:w="4687"/>
      </w:tblGrid>
      <w:tr w14:paraId="4F47344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97" w:hRule="exact"/>
          <w:tblHeader/>
          <w:jc w:val="center"/>
        </w:trPr>
        <w:tc>
          <w:tcPr>
            <w:tcW w:w="4687" w:type="dxa"/>
            <w:tcBorders>
              <w:top w:val="single" w:color="000000" w:themeColor="text1" w:sz="12" w:space="0"/>
              <w:bottom w:val="single" w:color="000000" w:themeColor="text1" w:sz="12" w:space="0"/>
              <w:right w:val="single" w:color="000000" w:themeColor="text1" w:sz="4" w:space="0"/>
            </w:tcBorders>
            <w:vAlign w:val="center"/>
          </w:tcPr>
          <w:p w14:paraId="6711A212">
            <w:pPr>
              <w:spacing w:line="240" w:lineRule="auto"/>
              <w:jc w:val="center"/>
              <w:rPr>
                <w:rFonts w:ascii="宋体" w:hAnsi="宋体"/>
                <w:sz w:val="18"/>
                <w:szCs w:val="18"/>
              </w:rPr>
            </w:pPr>
            <w:r>
              <w:rPr>
                <w:rFonts w:hint="eastAsia" w:ascii="宋体" w:hAnsi="宋体"/>
                <w:sz w:val="18"/>
                <w:szCs w:val="18"/>
              </w:rPr>
              <w:t>项  目</w:t>
            </w:r>
          </w:p>
        </w:tc>
        <w:tc>
          <w:tcPr>
            <w:tcW w:w="4687" w:type="dxa"/>
            <w:tcBorders>
              <w:top w:val="single" w:color="000000" w:themeColor="text1" w:sz="12" w:space="0"/>
              <w:left w:val="single" w:color="000000" w:themeColor="text1" w:sz="4" w:space="0"/>
              <w:bottom w:val="single" w:color="000000" w:themeColor="text1" w:sz="12" w:space="0"/>
            </w:tcBorders>
            <w:vAlign w:val="center"/>
          </w:tcPr>
          <w:p w14:paraId="72ED31A6">
            <w:pPr>
              <w:spacing w:line="240" w:lineRule="auto"/>
              <w:jc w:val="center"/>
              <w:rPr>
                <w:rFonts w:ascii="宋体" w:hAnsi="宋体"/>
                <w:sz w:val="18"/>
                <w:szCs w:val="18"/>
              </w:rPr>
            </w:pPr>
            <w:r>
              <w:rPr>
                <w:rFonts w:hint="eastAsia"/>
                <w:sz w:val="18"/>
                <w:szCs w:val="18"/>
              </w:rPr>
              <w:t>标准试验方法</w:t>
            </w:r>
          </w:p>
        </w:tc>
      </w:tr>
      <w:tr w14:paraId="1720FC7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97" w:hRule="exact"/>
          <w:jc w:val="center"/>
        </w:trPr>
        <w:tc>
          <w:tcPr>
            <w:tcW w:w="4687" w:type="dxa"/>
            <w:tcBorders>
              <w:top w:val="single" w:color="000000" w:themeColor="text1" w:sz="12" w:space="0"/>
            </w:tcBorders>
            <w:vAlign w:val="center"/>
          </w:tcPr>
          <w:p w14:paraId="3BAB71B0">
            <w:pPr>
              <w:spacing w:line="240" w:lineRule="auto"/>
              <w:jc w:val="center"/>
              <w:rPr>
                <w:rFonts w:ascii="宋体" w:hAnsi="宋体"/>
                <w:sz w:val="18"/>
                <w:szCs w:val="18"/>
              </w:rPr>
            </w:pPr>
            <w:r>
              <w:rPr>
                <w:rFonts w:hint="eastAsia" w:ascii="宋体" w:hAnsi="宋体"/>
                <w:sz w:val="18"/>
                <w:szCs w:val="18"/>
              </w:rPr>
              <w:t>多环芳烃含量</w:t>
            </w:r>
          </w:p>
        </w:tc>
        <w:tc>
          <w:tcPr>
            <w:tcW w:w="4687" w:type="dxa"/>
            <w:tcBorders>
              <w:top w:val="single" w:color="000000" w:themeColor="text1" w:sz="12" w:space="0"/>
            </w:tcBorders>
            <w:vAlign w:val="center"/>
          </w:tcPr>
          <w:p w14:paraId="3AC2A38C">
            <w:pPr>
              <w:spacing w:line="240" w:lineRule="auto"/>
              <w:jc w:val="center"/>
              <w:rPr>
                <w:rFonts w:ascii="宋体" w:hAnsi="宋体"/>
                <w:sz w:val="18"/>
                <w:szCs w:val="18"/>
                <w:lang w:val="fr-FR"/>
              </w:rPr>
            </w:pPr>
            <w:r>
              <w:rPr>
                <w:rFonts w:hint="eastAsia" w:ascii="宋体" w:hAnsi="宋体"/>
                <w:sz w:val="18"/>
                <w:szCs w:val="18"/>
                <w:lang w:val="fr-FR"/>
              </w:rPr>
              <w:t>NB/SH/T 0806</w:t>
            </w:r>
          </w:p>
        </w:tc>
      </w:tr>
      <w:tr w14:paraId="40DCE13A">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97" w:hRule="exact"/>
          <w:jc w:val="center"/>
        </w:trPr>
        <w:tc>
          <w:tcPr>
            <w:tcW w:w="4687" w:type="dxa"/>
            <w:vAlign w:val="center"/>
          </w:tcPr>
          <w:p w14:paraId="152AD092">
            <w:pPr>
              <w:spacing w:line="240" w:lineRule="auto"/>
              <w:jc w:val="center"/>
              <w:rPr>
                <w:rFonts w:ascii="宋体" w:hAnsi="宋体"/>
                <w:sz w:val="18"/>
                <w:szCs w:val="18"/>
              </w:rPr>
            </w:pPr>
            <w:r>
              <w:rPr>
                <w:rFonts w:hint="eastAsia" w:ascii="宋体" w:hAnsi="宋体"/>
                <w:sz w:val="18"/>
                <w:szCs w:val="18"/>
              </w:rPr>
              <w:t>冷滤点</w:t>
            </w:r>
          </w:p>
        </w:tc>
        <w:tc>
          <w:tcPr>
            <w:tcW w:w="4687" w:type="dxa"/>
            <w:vAlign w:val="center"/>
          </w:tcPr>
          <w:p w14:paraId="7472F5A2">
            <w:pPr>
              <w:spacing w:line="240" w:lineRule="auto"/>
              <w:jc w:val="center"/>
              <w:rPr>
                <w:rFonts w:ascii="宋体" w:hAnsi="宋体"/>
                <w:sz w:val="18"/>
                <w:szCs w:val="18"/>
              </w:rPr>
            </w:pPr>
            <w:r>
              <w:rPr>
                <w:rFonts w:hint="eastAsia" w:ascii="宋体" w:hAnsi="宋体"/>
                <w:sz w:val="18"/>
                <w:szCs w:val="18"/>
              </w:rPr>
              <w:t>NB/SH/T 0248</w:t>
            </w:r>
          </w:p>
        </w:tc>
      </w:tr>
      <w:tr w14:paraId="6B0F047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97" w:hRule="exact"/>
          <w:jc w:val="center"/>
        </w:trPr>
        <w:tc>
          <w:tcPr>
            <w:tcW w:w="4687" w:type="dxa"/>
            <w:vAlign w:val="center"/>
          </w:tcPr>
          <w:p w14:paraId="08F0A64A">
            <w:pPr>
              <w:spacing w:line="240" w:lineRule="auto"/>
              <w:jc w:val="center"/>
              <w:rPr>
                <w:rFonts w:ascii="宋体" w:hAnsi="宋体"/>
                <w:sz w:val="18"/>
                <w:szCs w:val="18"/>
              </w:rPr>
            </w:pPr>
            <w:r>
              <w:rPr>
                <w:rFonts w:hint="eastAsia" w:ascii="宋体" w:hAnsi="宋体"/>
                <w:sz w:val="18"/>
                <w:szCs w:val="18"/>
              </w:rPr>
              <w:t>十六烷指数</w:t>
            </w:r>
          </w:p>
        </w:tc>
        <w:tc>
          <w:tcPr>
            <w:tcW w:w="4687" w:type="dxa"/>
            <w:vAlign w:val="center"/>
          </w:tcPr>
          <w:p w14:paraId="1B5FF158">
            <w:pPr>
              <w:spacing w:line="240" w:lineRule="auto"/>
              <w:jc w:val="center"/>
              <w:rPr>
                <w:rFonts w:ascii="宋体" w:hAnsi="宋体"/>
                <w:sz w:val="18"/>
                <w:szCs w:val="18"/>
              </w:rPr>
            </w:pPr>
            <w:r>
              <w:rPr>
                <w:rFonts w:hint="eastAsia" w:ascii="宋体" w:hAnsi="宋体"/>
                <w:sz w:val="18"/>
                <w:szCs w:val="18"/>
              </w:rPr>
              <w:t>SH/T 0694</w:t>
            </w:r>
          </w:p>
        </w:tc>
      </w:tr>
      <w:tr w14:paraId="3367FAE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97" w:hRule="exact"/>
          <w:jc w:val="center"/>
        </w:trPr>
        <w:tc>
          <w:tcPr>
            <w:tcW w:w="4687" w:type="dxa"/>
            <w:vAlign w:val="center"/>
          </w:tcPr>
          <w:p w14:paraId="69AE7D8C">
            <w:pPr>
              <w:spacing w:line="240" w:lineRule="auto"/>
              <w:jc w:val="center"/>
              <w:rPr>
                <w:rFonts w:ascii="宋体" w:hAnsi="宋体"/>
                <w:sz w:val="18"/>
                <w:szCs w:val="18"/>
              </w:rPr>
            </w:pPr>
            <w:r>
              <w:rPr>
                <w:rFonts w:hint="eastAsia" w:ascii="宋体" w:hAnsi="宋体"/>
                <w:sz w:val="18"/>
                <w:szCs w:val="18"/>
              </w:rPr>
              <w:t>馏程</w:t>
            </w:r>
          </w:p>
        </w:tc>
        <w:tc>
          <w:tcPr>
            <w:tcW w:w="4687" w:type="dxa"/>
            <w:vAlign w:val="center"/>
          </w:tcPr>
          <w:p w14:paraId="18F1C265">
            <w:pPr>
              <w:spacing w:line="240" w:lineRule="auto"/>
              <w:jc w:val="center"/>
              <w:rPr>
                <w:rFonts w:ascii="宋体" w:hAnsi="宋体"/>
                <w:sz w:val="18"/>
                <w:szCs w:val="18"/>
              </w:rPr>
            </w:pPr>
            <w:r>
              <w:rPr>
                <w:rFonts w:hint="eastAsia" w:ascii="宋体" w:hAnsi="宋体"/>
                <w:sz w:val="18"/>
                <w:szCs w:val="18"/>
              </w:rPr>
              <w:t>GB/T 6536</w:t>
            </w:r>
          </w:p>
        </w:tc>
      </w:tr>
      <w:tr w14:paraId="78A159B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97" w:hRule="exact"/>
          <w:jc w:val="center"/>
        </w:trPr>
        <w:tc>
          <w:tcPr>
            <w:tcW w:w="4687" w:type="dxa"/>
            <w:vAlign w:val="center"/>
          </w:tcPr>
          <w:p w14:paraId="2EF0265A">
            <w:pPr>
              <w:spacing w:line="240" w:lineRule="auto"/>
              <w:jc w:val="center"/>
              <w:rPr>
                <w:rFonts w:ascii="宋体" w:hAnsi="宋体"/>
                <w:sz w:val="18"/>
                <w:szCs w:val="18"/>
              </w:rPr>
            </w:pPr>
            <w:r>
              <w:rPr>
                <w:rFonts w:hint="eastAsia" w:ascii="宋体" w:hAnsi="宋体"/>
                <w:sz w:val="18"/>
                <w:szCs w:val="18"/>
              </w:rPr>
              <w:t>脂肪酸甲酯含量</w:t>
            </w:r>
          </w:p>
        </w:tc>
        <w:tc>
          <w:tcPr>
            <w:tcW w:w="4687" w:type="dxa"/>
            <w:vAlign w:val="center"/>
          </w:tcPr>
          <w:p w14:paraId="139C6F88">
            <w:pPr>
              <w:spacing w:line="240" w:lineRule="auto"/>
              <w:jc w:val="center"/>
              <w:rPr>
                <w:rFonts w:ascii="宋体" w:hAnsi="宋体"/>
                <w:sz w:val="18"/>
                <w:szCs w:val="18"/>
              </w:rPr>
            </w:pPr>
            <w:r>
              <w:rPr>
                <w:rFonts w:hint="eastAsia" w:ascii="宋体" w:hAnsi="宋体"/>
                <w:sz w:val="18"/>
                <w:szCs w:val="18"/>
              </w:rPr>
              <w:t>NB/SH/T 0916</w:t>
            </w:r>
          </w:p>
        </w:tc>
      </w:tr>
    </w:tbl>
    <w:p w14:paraId="042CCA19">
      <w:pPr>
        <w:pStyle w:val="79"/>
        <w:spacing w:before="156" w:after="156"/>
      </w:pPr>
      <w:r>
        <w:rPr>
          <w:rFonts w:hint="eastAsia"/>
        </w:rPr>
        <w:t>定标模型维护</w:t>
      </w:r>
    </w:p>
    <w:p w14:paraId="615A03FD">
      <w:pPr>
        <w:pStyle w:val="230"/>
        <w:ind w:firstLine="420"/>
      </w:pPr>
      <w:r>
        <w:rPr>
          <w:rFonts w:hint="eastAsia"/>
        </w:rPr>
        <w:t>定标模型应定期升级维护，根据待分析样品变化情况及时更新定标模型，</w:t>
      </w:r>
      <w:r>
        <w:rPr>
          <w:rFonts w:hint="eastAsia"/>
          <w:lang w:eastAsia="zh-CN"/>
        </w:rPr>
        <w:t>可将定标模型的验证光谱用于更新定标模型</w:t>
      </w:r>
      <w:r>
        <w:rPr>
          <w:rFonts w:hint="eastAsia"/>
        </w:rPr>
        <w:t>，每半年不少于一次。</w:t>
      </w:r>
    </w:p>
    <w:p w14:paraId="347BC6A0">
      <w:pPr>
        <w:pStyle w:val="78"/>
        <w:spacing w:before="156" w:after="156"/>
        <w:ind w:left="0"/>
      </w:pPr>
      <w:r>
        <w:rPr>
          <w:rFonts w:hint="eastAsia"/>
        </w:rPr>
        <w:t>样品测定</w:t>
      </w:r>
    </w:p>
    <w:p w14:paraId="45B7A7D5">
      <w:pPr>
        <w:pStyle w:val="212"/>
        <w:rPr>
          <w:rFonts w:hAnsi="宋体" w:cs="宋体"/>
          <w:kern w:val="0"/>
          <w:szCs w:val="21"/>
        </w:rPr>
      </w:pPr>
      <w:r>
        <w:rPr>
          <w:rFonts w:hint="eastAsia" w:hAnsi="宋体" w:cs="宋体"/>
          <w:kern w:val="0"/>
          <w:szCs w:val="21"/>
        </w:rPr>
        <w:t>按照A.3.4测量待测样品的近红外光谱，利用建立的定标模型分析待测样品的近红外光谱，即可得出各质量指标的分析数据和置信度值。</w:t>
      </w:r>
    </w:p>
    <w:p w14:paraId="300BBC03">
      <w:pPr>
        <w:pStyle w:val="79"/>
        <w:spacing w:before="156" w:after="156"/>
        <w:rPr>
          <w:rFonts w:ascii="宋体" w:hAnsi="宋体" w:eastAsia="宋体" w:cs="宋体"/>
          <w:kern w:val="0"/>
          <w:szCs w:val="21"/>
        </w:rPr>
      </w:pPr>
      <w:r>
        <w:rPr>
          <w:rFonts w:hint="eastAsia" w:ascii="宋体" w:hAnsi="宋体" w:eastAsia="宋体" w:cs="宋体"/>
          <w:kern w:val="0"/>
          <w:szCs w:val="21"/>
        </w:rPr>
        <w:t>每个样品平行测定两次，并计算平均值。</w:t>
      </w:r>
    </w:p>
    <w:p w14:paraId="46E584F3">
      <w:pPr>
        <w:pStyle w:val="78"/>
        <w:spacing w:before="156" w:after="156"/>
        <w:ind w:left="0"/>
      </w:pPr>
      <w:r>
        <w:rPr>
          <w:rFonts w:hint="eastAsia"/>
        </w:rPr>
        <w:t>结果处理</w:t>
      </w:r>
    </w:p>
    <w:p w14:paraId="6A0BBED0">
      <w:pPr>
        <w:pStyle w:val="212"/>
      </w:pPr>
      <w:r>
        <w:rPr>
          <w:rFonts w:hint="eastAsia"/>
        </w:rPr>
        <w:t>样品检测结果置信度值不小于80%，则认为正常，以两次测定结果的平均值报告结果。</w:t>
      </w:r>
    </w:p>
    <w:p w14:paraId="6025CA90">
      <w:pPr>
        <w:pStyle w:val="212"/>
      </w:pPr>
      <w:r>
        <w:rPr>
          <w:rFonts w:hint="eastAsia"/>
        </w:rPr>
        <w:t>样品检测结果置信度值小于80%，则认为可疑，应按照表A.1规定的标准试验方法进行测定。</w:t>
      </w:r>
    </w:p>
    <w:p w14:paraId="0C888C9E">
      <w:pPr>
        <w:pStyle w:val="78"/>
        <w:spacing w:before="156" w:after="156"/>
        <w:ind w:left="0"/>
      </w:pPr>
      <w:r>
        <w:rPr>
          <w:rFonts w:hint="eastAsia"/>
        </w:rPr>
        <w:t>重复性</w:t>
      </w:r>
    </w:p>
    <w:p w14:paraId="7AF0B25C">
      <w:pPr>
        <w:pStyle w:val="230"/>
        <w:ind w:firstLine="420"/>
      </w:pPr>
      <w:r>
        <w:rPr>
          <w:rFonts w:hint="eastAsia"/>
        </w:rPr>
        <w:t>由同一操作者,在同一实验室，使用同一台仪器，对同一样品连续测定的两个试验结果之差不应超过表A.2所列数值。</w:t>
      </w:r>
    </w:p>
    <w:p w14:paraId="58C6EA2F">
      <w:pPr>
        <w:pStyle w:val="78"/>
        <w:spacing w:before="156" w:after="156"/>
        <w:ind w:left="0"/>
      </w:pPr>
      <w:r>
        <w:rPr>
          <w:rFonts w:hint="eastAsia"/>
        </w:rPr>
        <w:t>准确性</w:t>
      </w:r>
    </w:p>
    <w:p w14:paraId="25E3F72F">
      <w:pPr>
        <w:pStyle w:val="230"/>
        <w:ind w:firstLine="420"/>
      </w:pPr>
      <w:r>
        <w:rPr>
          <w:rFonts w:hint="eastAsia"/>
        </w:rPr>
        <w:t>近红外光谱法的测定结果,与按照表A.1所列的标准试验方法的测定结果之差不应超过表A.2所列数值。</w:t>
      </w:r>
    </w:p>
    <w:p w14:paraId="4B3568E0">
      <w:pPr>
        <w:pStyle w:val="77"/>
        <w:spacing w:before="156" w:after="156"/>
      </w:pPr>
      <w:r>
        <w:rPr>
          <w:rFonts w:hint="eastAsia"/>
        </w:rPr>
        <w:t>车用柴油各项质量指标重复性和准确性</w:t>
      </w:r>
    </w:p>
    <w:tbl>
      <w:tblPr>
        <w:tblStyle w:val="27"/>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118"/>
        <w:gridCol w:w="3119"/>
        <w:gridCol w:w="3119"/>
      </w:tblGrid>
      <w:tr w14:paraId="6D3B068E">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tcBorders>
              <w:top w:val="single" w:color="000000" w:themeColor="text1" w:sz="12" w:space="0"/>
              <w:bottom w:val="single" w:color="000000" w:themeColor="text1" w:sz="12" w:space="0"/>
            </w:tcBorders>
            <w:vAlign w:val="center"/>
          </w:tcPr>
          <w:p w14:paraId="1C7065D7">
            <w:pPr>
              <w:spacing w:line="240" w:lineRule="auto"/>
              <w:jc w:val="center"/>
              <w:rPr>
                <w:rFonts w:ascii="宋体" w:hAnsi="宋体"/>
                <w:bCs/>
                <w:sz w:val="18"/>
                <w:szCs w:val="18"/>
              </w:rPr>
            </w:pPr>
            <w:r>
              <w:rPr>
                <w:rFonts w:hint="eastAsia" w:ascii="宋体" w:hAnsi="宋体"/>
                <w:bCs/>
                <w:sz w:val="18"/>
                <w:szCs w:val="18"/>
              </w:rPr>
              <w:t>项  目</w:t>
            </w:r>
          </w:p>
        </w:tc>
        <w:tc>
          <w:tcPr>
            <w:tcW w:w="3119" w:type="dxa"/>
            <w:tcBorders>
              <w:top w:val="single" w:color="000000" w:themeColor="text1" w:sz="12" w:space="0"/>
              <w:bottom w:val="single" w:color="000000" w:themeColor="text1" w:sz="12" w:space="0"/>
            </w:tcBorders>
            <w:vAlign w:val="center"/>
          </w:tcPr>
          <w:p w14:paraId="0C2B07BF">
            <w:pPr>
              <w:spacing w:line="240" w:lineRule="auto"/>
              <w:jc w:val="center"/>
              <w:rPr>
                <w:rFonts w:ascii="宋体" w:hAnsi="宋体"/>
                <w:bCs/>
                <w:sz w:val="18"/>
                <w:szCs w:val="18"/>
              </w:rPr>
            </w:pPr>
            <w:r>
              <w:rPr>
                <w:rFonts w:hint="eastAsia" w:ascii="宋体" w:hAnsi="宋体"/>
                <w:bCs/>
                <w:sz w:val="18"/>
                <w:szCs w:val="18"/>
              </w:rPr>
              <w:t>重复性</w:t>
            </w:r>
          </w:p>
        </w:tc>
        <w:tc>
          <w:tcPr>
            <w:tcW w:w="3119" w:type="dxa"/>
            <w:tcBorders>
              <w:top w:val="single" w:color="000000" w:themeColor="text1" w:sz="12" w:space="0"/>
              <w:bottom w:val="single" w:color="000000" w:themeColor="text1" w:sz="12" w:space="0"/>
            </w:tcBorders>
            <w:vAlign w:val="center"/>
          </w:tcPr>
          <w:p w14:paraId="371863BF">
            <w:pPr>
              <w:spacing w:line="240" w:lineRule="auto"/>
              <w:jc w:val="center"/>
              <w:rPr>
                <w:rFonts w:ascii="宋体" w:hAnsi="宋体"/>
                <w:bCs/>
                <w:sz w:val="18"/>
                <w:szCs w:val="18"/>
              </w:rPr>
            </w:pPr>
            <w:r>
              <w:rPr>
                <w:rFonts w:hint="eastAsia" w:ascii="宋体" w:hAnsi="宋体"/>
                <w:bCs/>
                <w:sz w:val="18"/>
                <w:szCs w:val="18"/>
              </w:rPr>
              <w:t>准确性</w:t>
            </w:r>
          </w:p>
        </w:tc>
      </w:tr>
      <w:tr w14:paraId="2EABFB2C">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tcBorders>
              <w:top w:val="single" w:color="000000" w:themeColor="text1" w:sz="12" w:space="0"/>
            </w:tcBorders>
            <w:vAlign w:val="center"/>
          </w:tcPr>
          <w:p w14:paraId="539C6FAF">
            <w:pPr>
              <w:spacing w:line="240" w:lineRule="auto"/>
              <w:jc w:val="center"/>
              <w:rPr>
                <w:rFonts w:ascii="宋体" w:hAnsi="宋体"/>
                <w:bCs/>
                <w:sz w:val="18"/>
                <w:szCs w:val="18"/>
              </w:rPr>
            </w:pPr>
            <w:r>
              <w:rPr>
                <w:rFonts w:hint="eastAsia" w:ascii="宋体" w:hAnsi="宋体"/>
                <w:sz w:val="18"/>
                <w:szCs w:val="18"/>
              </w:rPr>
              <w:t xml:space="preserve">多环芳烃含量（质量分数）/%    </w:t>
            </w:r>
          </w:p>
        </w:tc>
        <w:tc>
          <w:tcPr>
            <w:tcW w:w="3119" w:type="dxa"/>
            <w:tcBorders>
              <w:top w:val="single" w:color="000000" w:themeColor="text1" w:sz="12" w:space="0"/>
            </w:tcBorders>
            <w:vAlign w:val="center"/>
          </w:tcPr>
          <w:p w14:paraId="350191A3">
            <w:pPr>
              <w:spacing w:line="240" w:lineRule="auto"/>
              <w:jc w:val="center"/>
              <w:rPr>
                <w:rFonts w:ascii="宋体" w:hAnsi="宋体"/>
                <w:sz w:val="18"/>
                <w:szCs w:val="18"/>
              </w:rPr>
            </w:pPr>
            <w:r>
              <w:rPr>
                <w:rFonts w:hint="eastAsia" w:ascii="宋体" w:hAnsi="宋体"/>
                <w:sz w:val="18"/>
                <w:szCs w:val="18"/>
              </w:rPr>
              <w:t>同NB/SH/T 0806重复性</w:t>
            </w:r>
          </w:p>
        </w:tc>
        <w:tc>
          <w:tcPr>
            <w:tcW w:w="3119" w:type="dxa"/>
            <w:tcBorders>
              <w:top w:val="single" w:color="000000" w:themeColor="text1" w:sz="12" w:space="0"/>
            </w:tcBorders>
            <w:vAlign w:val="center"/>
          </w:tcPr>
          <w:p w14:paraId="0BFE0D4E">
            <w:pPr>
              <w:spacing w:line="240" w:lineRule="auto"/>
              <w:jc w:val="center"/>
              <w:rPr>
                <w:rFonts w:ascii="宋体" w:hAnsi="宋体"/>
                <w:sz w:val="18"/>
                <w:szCs w:val="18"/>
              </w:rPr>
            </w:pPr>
            <w:r>
              <w:rPr>
                <w:rFonts w:hint="eastAsia" w:ascii="宋体" w:hAnsi="宋体"/>
                <w:sz w:val="18"/>
                <w:szCs w:val="18"/>
              </w:rPr>
              <w:t>同NB/SH/T 0806再现性</w:t>
            </w:r>
          </w:p>
        </w:tc>
      </w:tr>
      <w:tr w14:paraId="4FC0A4A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vAlign w:val="center"/>
          </w:tcPr>
          <w:p w14:paraId="13295CCF">
            <w:pPr>
              <w:spacing w:line="240" w:lineRule="auto"/>
              <w:jc w:val="center"/>
              <w:rPr>
                <w:rFonts w:ascii="宋体" w:hAnsi="宋体"/>
                <w:bCs/>
                <w:sz w:val="18"/>
                <w:szCs w:val="18"/>
              </w:rPr>
            </w:pPr>
            <w:r>
              <w:rPr>
                <w:rFonts w:hint="eastAsia" w:ascii="宋体" w:hAnsi="宋体"/>
                <w:sz w:val="18"/>
                <w:szCs w:val="18"/>
              </w:rPr>
              <w:t xml:space="preserve">冷滤点/℃   </w:t>
            </w:r>
          </w:p>
        </w:tc>
        <w:tc>
          <w:tcPr>
            <w:tcW w:w="3119" w:type="dxa"/>
            <w:vAlign w:val="center"/>
          </w:tcPr>
          <w:p w14:paraId="4B98E822">
            <w:pPr>
              <w:spacing w:line="240" w:lineRule="auto"/>
              <w:jc w:val="center"/>
              <w:rPr>
                <w:rFonts w:ascii="宋体" w:hAnsi="宋体"/>
                <w:sz w:val="18"/>
                <w:szCs w:val="18"/>
              </w:rPr>
            </w:pPr>
            <w:r>
              <w:rPr>
                <w:rFonts w:hint="eastAsia" w:ascii="宋体" w:hAnsi="宋体"/>
                <w:sz w:val="18"/>
                <w:szCs w:val="18"/>
              </w:rPr>
              <w:t>1.2-0.027X</w:t>
            </w:r>
          </w:p>
        </w:tc>
        <w:tc>
          <w:tcPr>
            <w:tcW w:w="3119" w:type="dxa"/>
            <w:vAlign w:val="center"/>
          </w:tcPr>
          <w:p w14:paraId="5B17110E">
            <w:pPr>
              <w:spacing w:line="240" w:lineRule="auto"/>
              <w:jc w:val="center"/>
              <w:rPr>
                <w:rFonts w:ascii="宋体" w:hAnsi="宋体"/>
                <w:sz w:val="18"/>
                <w:szCs w:val="18"/>
              </w:rPr>
            </w:pPr>
            <w:r>
              <w:rPr>
                <w:rFonts w:hint="eastAsia" w:ascii="宋体" w:hAnsi="宋体"/>
                <w:sz w:val="18"/>
                <w:szCs w:val="18"/>
              </w:rPr>
              <w:t>3.0-0.060X</w:t>
            </w:r>
          </w:p>
        </w:tc>
      </w:tr>
      <w:tr w14:paraId="57FB92B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vAlign w:val="center"/>
          </w:tcPr>
          <w:p w14:paraId="6115269C">
            <w:pPr>
              <w:spacing w:line="240" w:lineRule="auto"/>
              <w:jc w:val="center"/>
              <w:rPr>
                <w:rFonts w:ascii="宋体" w:hAnsi="宋体"/>
                <w:bCs/>
                <w:sz w:val="18"/>
                <w:szCs w:val="18"/>
              </w:rPr>
            </w:pPr>
            <w:r>
              <w:rPr>
                <w:rFonts w:hint="eastAsia" w:ascii="宋体" w:hAnsi="宋体"/>
                <w:bCs/>
                <w:sz w:val="18"/>
                <w:szCs w:val="18"/>
              </w:rPr>
              <w:t>十六烷指数</w:t>
            </w:r>
          </w:p>
        </w:tc>
        <w:tc>
          <w:tcPr>
            <w:tcW w:w="3119" w:type="dxa"/>
            <w:vAlign w:val="center"/>
          </w:tcPr>
          <w:p w14:paraId="3FE23C25">
            <w:pPr>
              <w:spacing w:line="240" w:lineRule="auto"/>
              <w:jc w:val="center"/>
              <w:rPr>
                <w:rFonts w:ascii="宋体" w:hAnsi="宋体"/>
                <w:sz w:val="18"/>
                <w:szCs w:val="18"/>
              </w:rPr>
            </w:pPr>
            <w:r>
              <w:rPr>
                <w:rFonts w:hint="eastAsia" w:ascii="宋体" w:hAnsi="宋体"/>
                <w:sz w:val="18"/>
                <w:szCs w:val="18"/>
              </w:rPr>
              <w:t>1.5</w:t>
            </w:r>
          </w:p>
        </w:tc>
        <w:tc>
          <w:tcPr>
            <w:tcW w:w="3119" w:type="dxa"/>
            <w:vAlign w:val="center"/>
          </w:tcPr>
          <w:p w14:paraId="0D59C7EC">
            <w:pPr>
              <w:spacing w:line="240" w:lineRule="auto"/>
              <w:jc w:val="center"/>
              <w:rPr>
                <w:rFonts w:ascii="宋体" w:hAnsi="宋体"/>
                <w:sz w:val="18"/>
                <w:szCs w:val="18"/>
              </w:rPr>
            </w:pPr>
            <w:r>
              <w:rPr>
                <w:rFonts w:hint="eastAsia" w:ascii="宋体" w:hAnsi="宋体"/>
                <w:sz w:val="18"/>
                <w:szCs w:val="18"/>
              </w:rPr>
              <w:t>2.0</w:t>
            </w:r>
          </w:p>
        </w:tc>
      </w:tr>
      <w:tr w14:paraId="3CF203B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vAlign w:val="center"/>
          </w:tcPr>
          <w:p w14:paraId="20625F42">
            <w:pPr>
              <w:spacing w:line="240" w:lineRule="auto"/>
              <w:jc w:val="center"/>
              <w:rPr>
                <w:rFonts w:ascii="宋体" w:hAnsi="宋体"/>
                <w:bCs/>
                <w:sz w:val="18"/>
                <w:szCs w:val="18"/>
              </w:rPr>
            </w:pPr>
            <w:r>
              <w:rPr>
                <w:rFonts w:hint="eastAsia" w:ascii="宋体" w:hAnsi="宋体"/>
                <w:bCs/>
                <w:sz w:val="18"/>
                <w:szCs w:val="18"/>
              </w:rPr>
              <w:t>馏程</w:t>
            </w:r>
            <w:r>
              <w:rPr>
                <w:rFonts w:hint="eastAsia" w:ascii="宋体" w:hAnsi="宋体"/>
                <w:sz w:val="18"/>
                <w:szCs w:val="18"/>
              </w:rPr>
              <w:t>/℃</w:t>
            </w:r>
          </w:p>
        </w:tc>
        <w:tc>
          <w:tcPr>
            <w:tcW w:w="3119" w:type="dxa"/>
            <w:vAlign w:val="center"/>
          </w:tcPr>
          <w:p w14:paraId="5D576F3C">
            <w:pPr>
              <w:spacing w:line="240" w:lineRule="auto"/>
              <w:jc w:val="center"/>
              <w:rPr>
                <w:rFonts w:ascii="宋体" w:hAnsi="宋体"/>
                <w:sz w:val="18"/>
                <w:szCs w:val="18"/>
              </w:rPr>
            </w:pPr>
            <w:r>
              <w:rPr>
                <w:rFonts w:hint="eastAsia" w:ascii="宋体" w:hAnsi="宋体"/>
                <w:sz w:val="18"/>
                <w:szCs w:val="18"/>
              </w:rPr>
              <w:t>同GB/T 6536重复性</w:t>
            </w:r>
          </w:p>
        </w:tc>
        <w:tc>
          <w:tcPr>
            <w:tcW w:w="3119" w:type="dxa"/>
            <w:vAlign w:val="center"/>
          </w:tcPr>
          <w:p w14:paraId="603B95EA">
            <w:pPr>
              <w:spacing w:line="240" w:lineRule="auto"/>
              <w:jc w:val="center"/>
              <w:rPr>
                <w:rFonts w:ascii="宋体" w:hAnsi="宋体"/>
                <w:sz w:val="18"/>
                <w:szCs w:val="18"/>
              </w:rPr>
            </w:pPr>
            <w:r>
              <w:rPr>
                <w:rFonts w:hint="eastAsia" w:ascii="宋体" w:hAnsi="宋体"/>
                <w:sz w:val="18"/>
                <w:szCs w:val="18"/>
              </w:rPr>
              <w:t>同GB/T 6536再现性</w:t>
            </w:r>
          </w:p>
        </w:tc>
      </w:tr>
      <w:tr w14:paraId="5433C0D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tcBorders>
              <w:bottom w:val="single" w:color="000000" w:themeColor="text1" w:sz="12" w:space="0"/>
            </w:tcBorders>
            <w:vAlign w:val="center"/>
          </w:tcPr>
          <w:p w14:paraId="057D1577">
            <w:pPr>
              <w:spacing w:line="240" w:lineRule="auto"/>
              <w:jc w:val="center"/>
              <w:rPr>
                <w:rFonts w:ascii="宋体" w:hAnsi="宋体"/>
                <w:bCs/>
                <w:sz w:val="18"/>
                <w:szCs w:val="18"/>
              </w:rPr>
            </w:pPr>
            <w:r>
              <w:rPr>
                <w:rFonts w:hint="eastAsia" w:ascii="宋体" w:hAnsi="宋体"/>
                <w:sz w:val="18"/>
                <w:szCs w:val="18"/>
              </w:rPr>
              <w:t xml:space="preserve">脂肪酸甲酯含量（体积分数），%   </w:t>
            </w:r>
          </w:p>
        </w:tc>
        <w:tc>
          <w:tcPr>
            <w:tcW w:w="3119" w:type="dxa"/>
            <w:tcBorders>
              <w:bottom w:val="single" w:color="000000" w:themeColor="text1" w:sz="12" w:space="0"/>
            </w:tcBorders>
            <w:vAlign w:val="center"/>
          </w:tcPr>
          <w:p w14:paraId="5D6A1426">
            <w:pPr>
              <w:spacing w:line="240" w:lineRule="auto"/>
              <w:jc w:val="center"/>
              <w:rPr>
                <w:rFonts w:ascii="宋体" w:hAnsi="宋体"/>
                <w:sz w:val="18"/>
                <w:szCs w:val="18"/>
              </w:rPr>
            </w:pPr>
            <w:r>
              <w:rPr>
                <w:rFonts w:hint="eastAsia" w:ascii="宋体" w:hAnsi="宋体"/>
                <w:sz w:val="18"/>
                <w:szCs w:val="18"/>
              </w:rPr>
              <w:t>同NB/SH/T 0916重复性</w:t>
            </w:r>
          </w:p>
        </w:tc>
        <w:tc>
          <w:tcPr>
            <w:tcW w:w="3119" w:type="dxa"/>
            <w:tcBorders>
              <w:bottom w:val="single" w:color="000000" w:themeColor="text1" w:sz="12" w:space="0"/>
            </w:tcBorders>
            <w:vAlign w:val="center"/>
          </w:tcPr>
          <w:p w14:paraId="486F7D33">
            <w:pPr>
              <w:spacing w:line="240" w:lineRule="auto"/>
              <w:jc w:val="center"/>
              <w:rPr>
                <w:rFonts w:ascii="宋体" w:hAnsi="宋体"/>
                <w:sz w:val="18"/>
                <w:szCs w:val="18"/>
              </w:rPr>
            </w:pPr>
            <w:r>
              <w:rPr>
                <w:rFonts w:hint="eastAsia" w:ascii="宋体" w:hAnsi="宋体"/>
                <w:sz w:val="18"/>
                <w:szCs w:val="18"/>
              </w:rPr>
              <w:t>同NB/SH/T 0916再现性</w:t>
            </w:r>
          </w:p>
        </w:tc>
      </w:tr>
      <w:tr w14:paraId="5A4ABDC2">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9356" w:type="dxa"/>
            <w:gridSpan w:val="3"/>
            <w:tcBorders>
              <w:top w:val="single" w:color="000000" w:themeColor="text1" w:sz="12" w:space="0"/>
              <w:bottom w:val="single" w:color="000000" w:themeColor="text1" w:sz="12" w:space="0"/>
            </w:tcBorders>
            <w:vAlign w:val="center"/>
          </w:tcPr>
          <w:p w14:paraId="2CAD72A5">
            <w:pPr>
              <w:spacing w:line="240" w:lineRule="auto"/>
              <w:jc w:val="left"/>
              <w:rPr>
                <w:rFonts w:ascii="宋体" w:hAnsi="宋体"/>
                <w:sz w:val="18"/>
                <w:szCs w:val="18"/>
              </w:rPr>
            </w:pPr>
            <w:r>
              <w:rPr>
                <w:rFonts w:hint="eastAsia" w:ascii="宋体" w:hAnsi="宋体"/>
                <w:sz w:val="18"/>
                <w:szCs w:val="18"/>
              </w:rPr>
              <w:t>注：X为用于比较的两个结果的平均值。</w:t>
            </w:r>
          </w:p>
        </w:tc>
      </w:tr>
    </w:tbl>
    <w:p w14:paraId="646A3149">
      <w:pPr>
        <w:pStyle w:val="199"/>
        <w:rPr>
          <w:vanish w:val="0"/>
        </w:rPr>
      </w:pPr>
    </w:p>
    <w:p w14:paraId="13F89BF3">
      <w:pPr>
        <w:pStyle w:val="76"/>
        <w:spacing w:after="156"/>
      </w:pPr>
      <w:r>
        <w:br w:type="textWrapping"/>
      </w:r>
      <w:r>
        <w:rPr>
          <w:rFonts w:hint="eastAsia"/>
        </w:rPr>
        <w:t>（规范性）</w:t>
      </w:r>
      <w:r>
        <w:br w:type="textWrapping"/>
      </w:r>
      <w:r>
        <w:rPr>
          <w:rFonts w:hint="eastAsia"/>
        </w:rPr>
        <w:t>车用柴油中多环芳烃含量、冷滤点、十六烷指数、馏程、脂肪酸甲酯含量的测定 中红外光谱法</w:t>
      </w:r>
    </w:p>
    <w:p w14:paraId="7DCA2CEC">
      <w:pPr>
        <w:pStyle w:val="78"/>
        <w:spacing w:before="156" w:after="156"/>
        <w:ind w:left="0"/>
      </w:pPr>
      <w:r>
        <w:rPr>
          <w:rFonts w:hint="eastAsia"/>
        </w:rPr>
        <w:t>原理</w:t>
      </w:r>
    </w:p>
    <w:p w14:paraId="3174DB87">
      <w:pPr>
        <w:pStyle w:val="230"/>
        <w:ind w:firstLine="420"/>
      </w:pPr>
      <w:r>
        <w:rPr>
          <w:rFonts w:hint="eastAsia"/>
        </w:rPr>
        <w:t>中红外光谱吸收带由</w:t>
      </w:r>
      <w:r>
        <w:fldChar w:fldCharType="begin"/>
      </w:r>
      <w:r>
        <w:instrText xml:space="preserve"> HYPERLINK "https://baike.baidu.com/item/%E6%9C%89%E6%9C%BA%E5%88%86%E5%AD%90/8440458" </w:instrText>
      </w:r>
      <w:r>
        <w:fldChar w:fldCharType="separate"/>
      </w:r>
      <w:r>
        <w:rPr>
          <w:rStyle w:val="32"/>
          <w:rFonts w:hint="eastAsia"/>
        </w:rPr>
        <w:t>有机分子</w:t>
      </w:r>
      <w:r>
        <w:rPr>
          <w:rStyle w:val="32"/>
          <w:rFonts w:hint="eastAsia"/>
        </w:rPr>
        <w:fldChar w:fldCharType="end"/>
      </w:r>
      <w:r>
        <w:rPr>
          <w:rFonts w:hint="eastAsia"/>
        </w:rPr>
        <w:t>中能量较高的化学键（主要是C-H、O-H、N-H）在中红外光谱区的基频吸收。通过扫描定标样品集的中红外光谱，利用偏最小二乘回归法等现代化学计量学方法，建立光谱与柴油主要技术指标的线性或非线性关系，再对柴油样品进行扫描，从而实现利用红外光谱信息对样品的多环芳烃含量、冷滤点、十六烷指数、馏程、脂肪酸甲酯含量的快速测定。</w:t>
      </w:r>
    </w:p>
    <w:p w14:paraId="3ED94526">
      <w:pPr>
        <w:pStyle w:val="78"/>
        <w:spacing w:before="156" w:after="156"/>
        <w:ind w:left="0"/>
      </w:pPr>
      <w:r>
        <w:rPr>
          <w:rFonts w:hint="eastAsia"/>
        </w:rPr>
        <w:t>仪器与设备</w:t>
      </w:r>
    </w:p>
    <w:p w14:paraId="6E4C1283">
      <w:pPr>
        <w:pStyle w:val="79"/>
        <w:spacing w:before="156" w:after="156"/>
      </w:pPr>
      <w:r>
        <w:rPr>
          <w:rFonts w:hint="eastAsia"/>
        </w:rPr>
        <w:t>中红外光谱分析仪</w:t>
      </w:r>
    </w:p>
    <w:p w14:paraId="0A879C74">
      <w:pPr>
        <w:pStyle w:val="235"/>
        <w:ind w:firstLine="424" w:firstLineChars="202"/>
        <w:rPr>
          <w:rFonts w:hAnsi="Times New Roman" w:cs="Times New Roman"/>
          <w:szCs w:val="20"/>
        </w:rPr>
      </w:pPr>
      <w:r>
        <w:rPr>
          <w:rFonts w:hint="eastAsia"/>
        </w:rPr>
        <w:t>适</w:t>
      </w:r>
      <w:r>
        <w:rPr>
          <w:rFonts w:hint="eastAsia" w:hAnsi="Times New Roman" w:cs="Times New Roman"/>
          <w:szCs w:val="20"/>
        </w:rPr>
        <w:t>用于本文件的仪器应满足扫描范围4000cm</w:t>
      </w:r>
      <w:r>
        <w:rPr>
          <w:rFonts w:hint="eastAsia" w:hAnsi="Times New Roman" w:cs="Times New Roman"/>
          <w:szCs w:val="20"/>
          <w:vertAlign w:val="superscript"/>
        </w:rPr>
        <w:t>-1</w:t>
      </w:r>
      <w:r>
        <w:rPr>
          <w:rFonts w:hint="eastAsia" w:hAnsi="Times New Roman" w:cs="Times New Roman"/>
          <w:szCs w:val="20"/>
        </w:rPr>
        <w:t>～650cm</w:t>
      </w:r>
      <w:r>
        <w:rPr>
          <w:rFonts w:hint="eastAsia" w:hAnsi="Times New Roman" w:cs="Times New Roman"/>
          <w:szCs w:val="20"/>
          <w:vertAlign w:val="superscript"/>
        </w:rPr>
        <w:t>-1</w:t>
      </w:r>
      <w:r>
        <w:rPr>
          <w:rFonts w:hint="eastAsia" w:hAnsi="Times New Roman" w:cs="Times New Roman"/>
          <w:szCs w:val="20"/>
        </w:rPr>
        <w:t>，分辨率优于2cm</w:t>
      </w:r>
      <w:r>
        <w:rPr>
          <w:rFonts w:hint="eastAsia" w:hAnsi="Times New Roman" w:cs="Times New Roman"/>
          <w:szCs w:val="20"/>
          <w:vertAlign w:val="superscript"/>
        </w:rPr>
        <w:t>-1</w:t>
      </w:r>
      <w:r>
        <w:rPr>
          <w:rFonts w:hint="eastAsia" w:hAnsi="Times New Roman" w:cs="Times New Roman"/>
          <w:szCs w:val="20"/>
        </w:rPr>
        <w:t>，波数准确度优于±0.03cm</w:t>
      </w:r>
      <w:r>
        <w:rPr>
          <w:rFonts w:hint="eastAsia" w:hAnsi="Times New Roman" w:cs="Times New Roman"/>
          <w:szCs w:val="20"/>
          <w:vertAlign w:val="superscript"/>
        </w:rPr>
        <w:t>-1</w:t>
      </w:r>
      <w:r>
        <w:rPr>
          <w:rFonts w:hint="eastAsia" w:hAnsi="Times New Roman" w:cs="Times New Roman"/>
          <w:szCs w:val="20"/>
        </w:rPr>
        <w:t>，波数重复性优于0.05cm</w:t>
      </w:r>
      <w:r>
        <w:rPr>
          <w:rFonts w:hint="eastAsia" w:hAnsi="Times New Roman" w:cs="Times New Roman"/>
          <w:szCs w:val="20"/>
          <w:vertAlign w:val="superscript"/>
        </w:rPr>
        <w:t>-1</w:t>
      </w:r>
      <w:r>
        <w:rPr>
          <w:rFonts w:hint="eastAsia" w:hAnsi="Times New Roman" w:cs="Times New Roman"/>
          <w:szCs w:val="20"/>
        </w:rPr>
        <w:t>，扫描速度优于5次/秒；至少应包括一个红外光源、样品池、检测器、计算机，光谱系统配备镜面位置校准功能。</w:t>
      </w:r>
    </w:p>
    <w:p w14:paraId="3BDE49C7">
      <w:pPr>
        <w:pStyle w:val="79"/>
        <w:spacing w:before="156" w:after="156"/>
      </w:pPr>
      <w:r>
        <w:rPr>
          <w:rFonts w:hint="eastAsia"/>
        </w:rPr>
        <w:t>化学计量学软件</w:t>
      </w:r>
    </w:p>
    <w:p w14:paraId="54351369">
      <w:pPr>
        <w:pStyle w:val="230"/>
        <w:ind w:firstLine="424" w:firstLineChars="202"/>
      </w:pPr>
      <w:r>
        <w:rPr>
          <w:rFonts w:hint="eastAsia"/>
        </w:rPr>
        <w:t>中红外光谱仪配置的化学计量学软件至少应含PLS（偏最小二乘法）多元校正算法，具有中红外光谱数据的收集、存储分析和计算功能，能够采用马氏距离判断样品的异常性以保障定标模型预测的可靠性和特异性样品的识别。</w:t>
      </w:r>
    </w:p>
    <w:p w14:paraId="188A1CF6">
      <w:pPr>
        <w:pStyle w:val="78"/>
        <w:spacing w:before="156" w:after="156"/>
        <w:ind w:left="0" w:leftChars="-1" w:hanging="2"/>
      </w:pPr>
      <w:r>
        <w:rPr>
          <w:rFonts w:hint="eastAsia"/>
        </w:rPr>
        <w:t>定标模型的验证</w:t>
      </w:r>
    </w:p>
    <w:p w14:paraId="579912B4">
      <w:pPr>
        <w:pStyle w:val="79"/>
        <w:spacing w:before="156" w:after="156"/>
      </w:pPr>
      <w:r>
        <w:rPr>
          <w:rFonts w:hint="eastAsia"/>
        </w:rPr>
        <w:t>仪器准备</w:t>
      </w:r>
    </w:p>
    <w:p w14:paraId="794B01BC">
      <w:pPr>
        <w:pStyle w:val="230"/>
        <w:ind w:firstLine="420"/>
      </w:pPr>
      <w:r>
        <w:rPr>
          <w:rFonts w:hint="eastAsia"/>
        </w:rPr>
        <w:t>按照仪器操作手册设定仪器参数。</w:t>
      </w:r>
    </w:p>
    <w:p w14:paraId="0F574BE2">
      <w:pPr>
        <w:pStyle w:val="230"/>
        <w:ind w:firstLine="420"/>
      </w:pPr>
      <w:r>
        <w:rPr>
          <w:rFonts w:hint="eastAsia"/>
        </w:rPr>
        <w:t>扫描波数范围：</w:t>
      </w:r>
      <w:r>
        <w:rPr>
          <w:rFonts w:hint="eastAsia" w:hAnsi="Times New Roman" w:cs="Times New Roman"/>
          <w:szCs w:val="20"/>
        </w:rPr>
        <w:t>4000cm</w:t>
      </w:r>
      <w:r>
        <w:rPr>
          <w:rFonts w:hint="eastAsia" w:hAnsi="Times New Roman" w:cs="Times New Roman"/>
          <w:szCs w:val="20"/>
          <w:vertAlign w:val="superscript"/>
        </w:rPr>
        <w:t>-1</w:t>
      </w:r>
      <w:r>
        <w:rPr>
          <w:rFonts w:hint="eastAsia" w:hAnsi="Times New Roman" w:cs="Times New Roman"/>
          <w:szCs w:val="20"/>
        </w:rPr>
        <w:t>～650</w:t>
      </w:r>
      <w:r>
        <w:rPr>
          <w:rFonts w:hint="eastAsia"/>
        </w:rPr>
        <w:t>cm</w:t>
      </w:r>
      <w:r>
        <w:rPr>
          <w:rFonts w:hint="eastAsia"/>
          <w:vertAlign w:val="superscript"/>
        </w:rPr>
        <w:t>-1</w:t>
      </w:r>
      <w:r>
        <w:rPr>
          <w:rFonts w:hint="eastAsia"/>
        </w:rPr>
        <w:t>，按选择的波数范围进行设定。</w:t>
      </w:r>
    </w:p>
    <w:p w14:paraId="08B4D2B2">
      <w:pPr>
        <w:pStyle w:val="230"/>
        <w:ind w:firstLine="420"/>
      </w:pPr>
      <w:r>
        <w:rPr>
          <w:rFonts w:hint="eastAsia"/>
        </w:rPr>
        <w:t>扫描平均次数：32次。</w:t>
      </w:r>
    </w:p>
    <w:p w14:paraId="4C4E0824">
      <w:pPr>
        <w:pStyle w:val="230"/>
        <w:ind w:firstLine="420"/>
      </w:pPr>
      <w:r>
        <w:rPr>
          <w:rFonts w:hint="eastAsia"/>
        </w:rPr>
        <w:t>测定定标集样品、验证集样品和待测试样时仪器参数应一致。</w:t>
      </w:r>
    </w:p>
    <w:p w14:paraId="658C51B8">
      <w:pPr>
        <w:pStyle w:val="79"/>
        <w:spacing w:before="156" w:after="156"/>
      </w:pPr>
      <w:r>
        <w:rPr>
          <w:rFonts w:hint="eastAsia"/>
        </w:rPr>
        <w:t>验证集样品的标准测定值</w:t>
      </w:r>
    </w:p>
    <w:p w14:paraId="478EB198">
      <w:pPr>
        <w:pStyle w:val="230"/>
        <w:ind w:firstLine="420"/>
      </w:pPr>
      <w:r>
        <w:rPr>
          <w:rFonts w:hint="eastAsia"/>
        </w:rPr>
        <w:t>按照表B.1规定的标准试验方法，测定验证集样品的各项质量指标，得到标准测定值。</w:t>
      </w:r>
    </w:p>
    <w:p w14:paraId="3388C29A">
      <w:pPr>
        <w:pStyle w:val="233"/>
        <w:spacing w:beforeLines="50" w:beforeAutospacing="0" w:afterLines="50" w:afterAutospacing="0"/>
      </w:pPr>
      <w:r>
        <w:rPr>
          <w:rFonts w:hint="eastAsia"/>
        </w:rPr>
        <w:t>表B.1标准试验方法</w:t>
      </w:r>
    </w:p>
    <w:tbl>
      <w:tblPr>
        <w:tblStyle w:val="26"/>
        <w:tblW w:w="9374" w:type="dxa"/>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Layout w:type="fixed"/>
        <w:tblCellMar>
          <w:top w:w="0" w:type="dxa"/>
          <w:left w:w="0" w:type="dxa"/>
          <w:bottom w:w="0" w:type="dxa"/>
          <w:right w:w="0" w:type="dxa"/>
        </w:tblCellMar>
      </w:tblPr>
      <w:tblGrid>
        <w:gridCol w:w="4687"/>
        <w:gridCol w:w="4687"/>
      </w:tblGrid>
      <w:tr w14:paraId="7EFEE4D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PrEx>
        <w:trPr>
          <w:trHeight w:val="397" w:hRule="exact"/>
          <w:tblHeader/>
          <w:jc w:val="center"/>
        </w:trPr>
        <w:tc>
          <w:tcPr>
            <w:tcW w:w="4687" w:type="dxa"/>
            <w:tcBorders>
              <w:top w:val="single" w:color="000000" w:themeColor="text1" w:sz="12" w:space="0"/>
              <w:bottom w:val="single" w:color="000000" w:themeColor="text1" w:sz="12" w:space="0"/>
              <w:right w:val="single" w:color="000000" w:themeColor="text1" w:sz="4" w:space="0"/>
            </w:tcBorders>
            <w:vAlign w:val="center"/>
          </w:tcPr>
          <w:p w14:paraId="2D9B49A6">
            <w:pPr>
              <w:spacing w:line="240" w:lineRule="auto"/>
              <w:jc w:val="center"/>
              <w:rPr>
                <w:rFonts w:ascii="宋体" w:hAnsi="宋体"/>
                <w:sz w:val="18"/>
                <w:szCs w:val="18"/>
              </w:rPr>
            </w:pPr>
            <w:r>
              <w:rPr>
                <w:rFonts w:hint="eastAsia" w:ascii="宋体" w:hAnsi="宋体"/>
                <w:sz w:val="18"/>
                <w:szCs w:val="18"/>
              </w:rPr>
              <w:t>项  目</w:t>
            </w:r>
          </w:p>
        </w:tc>
        <w:tc>
          <w:tcPr>
            <w:tcW w:w="4687" w:type="dxa"/>
            <w:tcBorders>
              <w:top w:val="single" w:color="000000" w:themeColor="text1" w:sz="12" w:space="0"/>
              <w:left w:val="single" w:color="000000" w:themeColor="text1" w:sz="4" w:space="0"/>
              <w:bottom w:val="single" w:color="000000" w:themeColor="text1" w:sz="12" w:space="0"/>
            </w:tcBorders>
            <w:vAlign w:val="center"/>
          </w:tcPr>
          <w:p w14:paraId="2E2C4E90">
            <w:pPr>
              <w:spacing w:line="240" w:lineRule="auto"/>
              <w:jc w:val="center"/>
              <w:rPr>
                <w:rFonts w:ascii="宋体" w:hAnsi="宋体"/>
                <w:sz w:val="18"/>
                <w:szCs w:val="18"/>
              </w:rPr>
            </w:pPr>
            <w:r>
              <w:rPr>
                <w:rFonts w:hint="eastAsia" w:ascii="宋体" w:hAnsi="宋体"/>
                <w:sz w:val="18"/>
                <w:szCs w:val="18"/>
              </w:rPr>
              <w:t>标准试验方法</w:t>
            </w:r>
          </w:p>
        </w:tc>
      </w:tr>
      <w:tr w14:paraId="7021A50F">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97" w:hRule="exact"/>
          <w:jc w:val="center"/>
        </w:trPr>
        <w:tc>
          <w:tcPr>
            <w:tcW w:w="4687" w:type="dxa"/>
            <w:tcBorders>
              <w:top w:val="single" w:color="000000" w:themeColor="text1" w:sz="12" w:space="0"/>
            </w:tcBorders>
            <w:vAlign w:val="center"/>
          </w:tcPr>
          <w:p w14:paraId="753184D7">
            <w:pPr>
              <w:spacing w:line="240" w:lineRule="auto"/>
              <w:jc w:val="center"/>
              <w:rPr>
                <w:rFonts w:ascii="宋体" w:hAnsi="宋体"/>
                <w:sz w:val="18"/>
                <w:szCs w:val="18"/>
              </w:rPr>
            </w:pPr>
            <w:r>
              <w:rPr>
                <w:rFonts w:hint="eastAsia" w:ascii="宋体" w:hAnsi="宋体"/>
                <w:sz w:val="18"/>
                <w:szCs w:val="18"/>
              </w:rPr>
              <w:t>多环芳烃含量</w:t>
            </w:r>
          </w:p>
        </w:tc>
        <w:tc>
          <w:tcPr>
            <w:tcW w:w="4687" w:type="dxa"/>
            <w:tcBorders>
              <w:top w:val="single" w:color="000000" w:themeColor="text1" w:sz="12" w:space="0"/>
            </w:tcBorders>
            <w:vAlign w:val="center"/>
          </w:tcPr>
          <w:p w14:paraId="24A35B08">
            <w:pPr>
              <w:spacing w:line="240" w:lineRule="auto"/>
              <w:jc w:val="center"/>
              <w:rPr>
                <w:rFonts w:ascii="宋体" w:hAnsi="宋体"/>
                <w:sz w:val="18"/>
                <w:szCs w:val="18"/>
                <w:lang w:val="fr-FR"/>
              </w:rPr>
            </w:pPr>
            <w:r>
              <w:rPr>
                <w:rFonts w:hint="eastAsia" w:ascii="宋体" w:hAnsi="宋体"/>
                <w:sz w:val="18"/>
                <w:szCs w:val="18"/>
                <w:lang w:val="fr-FR"/>
              </w:rPr>
              <w:t>NB/SH/T 0806</w:t>
            </w:r>
          </w:p>
        </w:tc>
      </w:tr>
      <w:tr w14:paraId="5817907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97" w:hRule="exact"/>
          <w:jc w:val="center"/>
        </w:trPr>
        <w:tc>
          <w:tcPr>
            <w:tcW w:w="4687" w:type="dxa"/>
            <w:vAlign w:val="center"/>
          </w:tcPr>
          <w:p w14:paraId="6E5123E4">
            <w:pPr>
              <w:spacing w:line="240" w:lineRule="auto"/>
              <w:jc w:val="center"/>
              <w:rPr>
                <w:rFonts w:ascii="宋体" w:hAnsi="宋体"/>
                <w:sz w:val="18"/>
                <w:szCs w:val="18"/>
              </w:rPr>
            </w:pPr>
            <w:r>
              <w:rPr>
                <w:rFonts w:hint="eastAsia" w:ascii="宋体" w:hAnsi="宋体"/>
                <w:sz w:val="18"/>
                <w:szCs w:val="18"/>
              </w:rPr>
              <w:t>冷滤点</w:t>
            </w:r>
          </w:p>
        </w:tc>
        <w:tc>
          <w:tcPr>
            <w:tcW w:w="4687" w:type="dxa"/>
            <w:vAlign w:val="center"/>
          </w:tcPr>
          <w:p w14:paraId="4FEE7808">
            <w:pPr>
              <w:spacing w:line="240" w:lineRule="auto"/>
              <w:jc w:val="center"/>
              <w:rPr>
                <w:rFonts w:ascii="宋体" w:hAnsi="宋体"/>
                <w:sz w:val="18"/>
                <w:szCs w:val="18"/>
              </w:rPr>
            </w:pPr>
            <w:r>
              <w:rPr>
                <w:rFonts w:hint="eastAsia" w:ascii="宋体" w:hAnsi="宋体"/>
                <w:sz w:val="18"/>
                <w:szCs w:val="18"/>
              </w:rPr>
              <w:t>NB/SH/T 0248</w:t>
            </w:r>
          </w:p>
        </w:tc>
      </w:tr>
      <w:tr w14:paraId="5EE18AB8">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97" w:hRule="exact"/>
          <w:jc w:val="center"/>
        </w:trPr>
        <w:tc>
          <w:tcPr>
            <w:tcW w:w="4687" w:type="dxa"/>
            <w:vAlign w:val="center"/>
          </w:tcPr>
          <w:p w14:paraId="06EE67E3">
            <w:pPr>
              <w:spacing w:line="240" w:lineRule="auto"/>
              <w:jc w:val="center"/>
              <w:rPr>
                <w:rFonts w:ascii="宋体" w:hAnsi="宋体"/>
                <w:sz w:val="18"/>
                <w:szCs w:val="18"/>
              </w:rPr>
            </w:pPr>
            <w:r>
              <w:rPr>
                <w:rFonts w:hint="eastAsia" w:ascii="宋体" w:hAnsi="宋体"/>
                <w:sz w:val="18"/>
                <w:szCs w:val="18"/>
              </w:rPr>
              <w:t>十六烷指数</w:t>
            </w:r>
          </w:p>
        </w:tc>
        <w:tc>
          <w:tcPr>
            <w:tcW w:w="4687" w:type="dxa"/>
            <w:vAlign w:val="center"/>
          </w:tcPr>
          <w:p w14:paraId="44F99382">
            <w:pPr>
              <w:spacing w:line="240" w:lineRule="auto"/>
              <w:jc w:val="center"/>
              <w:rPr>
                <w:rFonts w:ascii="宋体" w:hAnsi="宋体"/>
                <w:sz w:val="18"/>
                <w:szCs w:val="18"/>
              </w:rPr>
            </w:pPr>
            <w:r>
              <w:rPr>
                <w:rFonts w:hint="eastAsia" w:ascii="宋体" w:hAnsi="宋体"/>
                <w:sz w:val="18"/>
                <w:szCs w:val="18"/>
              </w:rPr>
              <w:t>SH/T 0694</w:t>
            </w:r>
          </w:p>
        </w:tc>
      </w:tr>
      <w:tr w14:paraId="6BC8BE3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97" w:hRule="exact"/>
          <w:jc w:val="center"/>
        </w:trPr>
        <w:tc>
          <w:tcPr>
            <w:tcW w:w="4687" w:type="dxa"/>
            <w:vAlign w:val="center"/>
          </w:tcPr>
          <w:p w14:paraId="783DBDEE">
            <w:pPr>
              <w:spacing w:line="240" w:lineRule="auto"/>
              <w:jc w:val="center"/>
              <w:rPr>
                <w:rFonts w:ascii="宋体" w:hAnsi="宋体"/>
                <w:sz w:val="18"/>
                <w:szCs w:val="18"/>
              </w:rPr>
            </w:pPr>
            <w:r>
              <w:rPr>
                <w:rFonts w:hint="eastAsia" w:ascii="宋体" w:hAnsi="宋体"/>
                <w:sz w:val="18"/>
                <w:szCs w:val="18"/>
              </w:rPr>
              <w:t>馏程</w:t>
            </w:r>
          </w:p>
        </w:tc>
        <w:tc>
          <w:tcPr>
            <w:tcW w:w="4687" w:type="dxa"/>
            <w:vAlign w:val="center"/>
          </w:tcPr>
          <w:p w14:paraId="0D4ED6AC">
            <w:pPr>
              <w:spacing w:line="240" w:lineRule="auto"/>
              <w:jc w:val="center"/>
              <w:rPr>
                <w:rFonts w:ascii="宋体" w:hAnsi="宋体"/>
                <w:sz w:val="18"/>
                <w:szCs w:val="18"/>
              </w:rPr>
            </w:pPr>
            <w:r>
              <w:rPr>
                <w:rFonts w:hint="eastAsia" w:ascii="宋体" w:hAnsi="宋体"/>
                <w:sz w:val="18"/>
                <w:szCs w:val="18"/>
              </w:rPr>
              <w:t>GB/T 6536</w:t>
            </w:r>
          </w:p>
        </w:tc>
      </w:tr>
      <w:tr w14:paraId="028EBD90">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6" w:space="0"/>
            <w:insideV w:val="single" w:color="000000" w:themeColor="text1" w:sz="6" w:space="0"/>
          </w:tblBorders>
          <w:tblCellMar>
            <w:top w:w="0" w:type="dxa"/>
            <w:left w:w="0" w:type="dxa"/>
            <w:bottom w:w="0" w:type="dxa"/>
            <w:right w:w="0" w:type="dxa"/>
          </w:tblCellMar>
        </w:tblPrEx>
        <w:trPr>
          <w:trHeight w:val="397" w:hRule="exact"/>
          <w:jc w:val="center"/>
        </w:trPr>
        <w:tc>
          <w:tcPr>
            <w:tcW w:w="4687" w:type="dxa"/>
            <w:vAlign w:val="center"/>
          </w:tcPr>
          <w:p w14:paraId="1B8AE5BB">
            <w:pPr>
              <w:spacing w:line="240" w:lineRule="auto"/>
              <w:jc w:val="center"/>
              <w:rPr>
                <w:rFonts w:ascii="宋体" w:hAnsi="宋体"/>
                <w:sz w:val="18"/>
                <w:szCs w:val="18"/>
              </w:rPr>
            </w:pPr>
            <w:r>
              <w:rPr>
                <w:rFonts w:hint="eastAsia" w:ascii="宋体" w:hAnsi="宋体"/>
                <w:sz w:val="18"/>
                <w:szCs w:val="18"/>
              </w:rPr>
              <w:t>脂肪酸甲酯含量</w:t>
            </w:r>
          </w:p>
        </w:tc>
        <w:tc>
          <w:tcPr>
            <w:tcW w:w="4687" w:type="dxa"/>
            <w:vAlign w:val="center"/>
          </w:tcPr>
          <w:p w14:paraId="20AA7EFD">
            <w:pPr>
              <w:spacing w:line="240" w:lineRule="auto"/>
              <w:jc w:val="center"/>
              <w:rPr>
                <w:rFonts w:ascii="宋体" w:hAnsi="宋体"/>
                <w:sz w:val="18"/>
                <w:szCs w:val="18"/>
              </w:rPr>
            </w:pPr>
            <w:r>
              <w:rPr>
                <w:rFonts w:hint="eastAsia" w:ascii="宋体" w:hAnsi="宋体"/>
                <w:sz w:val="18"/>
                <w:szCs w:val="18"/>
              </w:rPr>
              <w:t>NB/SH/T 0916</w:t>
            </w:r>
          </w:p>
        </w:tc>
      </w:tr>
    </w:tbl>
    <w:p w14:paraId="49D9AD45">
      <w:pPr>
        <w:pStyle w:val="79"/>
        <w:spacing w:before="156" w:after="156"/>
      </w:pPr>
      <w:r>
        <w:rPr>
          <w:rFonts w:hint="eastAsia"/>
        </w:rPr>
        <w:t>光谱数据采集</w:t>
      </w:r>
    </w:p>
    <w:p w14:paraId="305E5762">
      <w:pPr>
        <w:pStyle w:val="230"/>
        <w:ind w:firstLine="420"/>
      </w:pPr>
      <w:r>
        <w:rPr>
          <w:rFonts w:hint="eastAsia"/>
        </w:rPr>
        <w:t>以空气为参比，采集背景光谱。样品摇匀后，移取样品置入样品池中，样品注入量满足样品池要求，并确保光束有效通过样品池且无气泡存在，测量样品光谱。</w:t>
      </w:r>
    </w:p>
    <w:p w14:paraId="0A48974E">
      <w:pPr>
        <w:pStyle w:val="79"/>
        <w:spacing w:before="156" w:after="156"/>
      </w:pPr>
      <w:r>
        <w:rPr>
          <w:rFonts w:hint="eastAsia"/>
        </w:rPr>
        <w:t>定标模型验证</w:t>
      </w:r>
    </w:p>
    <w:p w14:paraId="4C68B8F0">
      <w:pPr>
        <w:pStyle w:val="230"/>
        <w:ind w:firstLine="420"/>
      </w:pPr>
      <w:r>
        <w:rPr>
          <w:rFonts w:hint="eastAsia"/>
        </w:rPr>
        <w:t>使用验证集样品（不包含定标样品）验证定标模型的准确性，采集样品的吸收光谱数据，利用定标模型检测样品的各项质量指标，与B.3.2规定的标准试验方法的测定值进行比对，两个结果之差应满足表B.2准确性的要求；验证样品重复多次测定的结果应满足表B.2重复性的要求。</w:t>
      </w:r>
    </w:p>
    <w:p w14:paraId="6536D8A8">
      <w:pPr>
        <w:pStyle w:val="79"/>
        <w:spacing w:before="156" w:after="156"/>
      </w:pPr>
      <w:r>
        <w:rPr>
          <w:rFonts w:hint="eastAsia"/>
        </w:rPr>
        <w:t>定标模型维护</w:t>
      </w:r>
    </w:p>
    <w:p w14:paraId="3026962E">
      <w:pPr>
        <w:pStyle w:val="230"/>
        <w:ind w:firstLine="420"/>
      </w:pPr>
      <w:r>
        <w:rPr>
          <w:rFonts w:hint="eastAsia"/>
        </w:rPr>
        <w:t>定标模型应定期升级维护，根据待分析样品变化情况及时更新定标模型，</w:t>
      </w:r>
      <w:r>
        <w:rPr>
          <w:rFonts w:hint="eastAsia"/>
          <w:lang w:eastAsia="zh-CN"/>
        </w:rPr>
        <w:t>可将定标模型的验证光谱用于更新定标模型</w:t>
      </w:r>
      <w:r>
        <w:rPr>
          <w:rFonts w:hint="eastAsia"/>
        </w:rPr>
        <w:t>，每半年不少于一次。</w:t>
      </w:r>
    </w:p>
    <w:p w14:paraId="250A6885">
      <w:pPr>
        <w:pStyle w:val="78"/>
        <w:spacing w:before="156" w:after="156"/>
        <w:ind w:left="0"/>
      </w:pPr>
      <w:r>
        <w:rPr>
          <w:rFonts w:hint="eastAsia"/>
        </w:rPr>
        <w:t>样品测定</w:t>
      </w:r>
    </w:p>
    <w:p w14:paraId="579615D5">
      <w:pPr>
        <w:pStyle w:val="79"/>
        <w:spacing w:before="156" w:after="156"/>
        <w:rPr>
          <w:rFonts w:ascii="宋体" w:hAnsi="宋体" w:eastAsia="宋体" w:cs="宋体"/>
          <w:kern w:val="0"/>
          <w:szCs w:val="21"/>
        </w:rPr>
      </w:pPr>
      <w:r>
        <w:rPr>
          <w:rFonts w:hint="eastAsia" w:ascii="宋体" w:hAnsi="宋体" w:eastAsia="宋体" w:cs="宋体"/>
          <w:kern w:val="0"/>
          <w:szCs w:val="21"/>
        </w:rPr>
        <w:t>按照B.3.4测量待测样品的中红外光谱，利用建立的定标模型分析待测样品的中红外光谱，即可得出各质量指标的分析数据和置信度值。</w:t>
      </w:r>
    </w:p>
    <w:p w14:paraId="58312230">
      <w:pPr>
        <w:pStyle w:val="79"/>
        <w:spacing w:before="156" w:after="156"/>
        <w:rPr>
          <w:rFonts w:ascii="宋体" w:hAnsi="宋体" w:eastAsia="宋体" w:cs="宋体"/>
          <w:kern w:val="0"/>
          <w:szCs w:val="21"/>
        </w:rPr>
      </w:pPr>
      <w:r>
        <w:rPr>
          <w:rFonts w:hint="eastAsia" w:ascii="宋体" w:hAnsi="宋体" w:eastAsia="宋体" w:cs="宋体"/>
          <w:kern w:val="0"/>
          <w:szCs w:val="21"/>
        </w:rPr>
        <w:t>每个样品平行测定两次，并计算平均值。</w:t>
      </w:r>
    </w:p>
    <w:p w14:paraId="5760BF92">
      <w:pPr>
        <w:pStyle w:val="78"/>
        <w:spacing w:before="156" w:after="156"/>
        <w:ind w:left="0"/>
      </w:pPr>
      <w:r>
        <w:rPr>
          <w:rFonts w:hint="eastAsia"/>
        </w:rPr>
        <w:t>结果处理</w:t>
      </w:r>
    </w:p>
    <w:p w14:paraId="0D1FA995">
      <w:pPr>
        <w:pStyle w:val="79"/>
        <w:spacing w:before="156" w:after="156"/>
        <w:rPr>
          <w:rFonts w:ascii="宋体" w:hAnsi="宋体" w:eastAsia="宋体" w:cs="宋体"/>
          <w:kern w:val="0"/>
          <w:szCs w:val="21"/>
        </w:rPr>
      </w:pPr>
      <w:r>
        <w:rPr>
          <w:rFonts w:hint="eastAsia" w:ascii="宋体" w:hAnsi="宋体" w:eastAsia="宋体" w:cs="宋体"/>
          <w:kern w:val="0"/>
          <w:szCs w:val="21"/>
        </w:rPr>
        <w:t>样品检测结果置信度值不小于80%，则认为正常，以两次测定结果的平均值报告结果。</w:t>
      </w:r>
    </w:p>
    <w:p w14:paraId="2CFDCF89">
      <w:pPr>
        <w:pStyle w:val="79"/>
        <w:spacing w:before="156" w:after="156"/>
        <w:rPr>
          <w:rFonts w:ascii="宋体" w:hAnsi="宋体" w:eastAsia="宋体" w:cs="宋体"/>
          <w:kern w:val="0"/>
          <w:szCs w:val="21"/>
        </w:rPr>
      </w:pPr>
      <w:r>
        <w:rPr>
          <w:rFonts w:hint="eastAsia" w:ascii="宋体" w:hAnsi="宋体" w:eastAsia="宋体" w:cs="宋体"/>
          <w:kern w:val="0"/>
          <w:szCs w:val="21"/>
        </w:rPr>
        <w:t>样品检测结果置信度值小于80%，则认为可疑，应按照表B.1规定的标准试验方法进行测定。</w:t>
      </w:r>
    </w:p>
    <w:p w14:paraId="02D6AC86">
      <w:pPr>
        <w:pStyle w:val="78"/>
        <w:spacing w:before="156" w:after="156"/>
        <w:ind w:left="0"/>
      </w:pPr>
      <w:r>
        <w:rPr>
          <w:rFonts w:hint="eastAsia"/>
        </w:rPr>
        <w:t>重复性</w:t>
      </w:r>
    </w:p>
    <w:p w14:paraId="251E7408">
      <w:pPr>
        <w:pStyle w:val="230"/>
        <w:ind w:firstLine="420"/>
      </w:pPr>
      <w:r>
        <w:rPr>
          <w:rFonts w:hint="eastAsia"/>
        </w:rPr>
        <w:t>由同一操作者,在同一实验室，使用同一台仪器，对同一样品连续测定的两个试验结果之差不应超过表B.2所列数值。</w:t>
      </w:r>
    </w:p>
    <w:p w14:paraId="5BB9F4CB">
      <w:pPr>
        <w:pStyle w:val="78"/>
        <w:spacing w:before="156" w:after="156"/>
        <w:ind w:left="0"/>
      </w:pPr>
      <w:r>
        <w:rPr>
          <w:rFonts w:hint="eastAsia"/>
        </w:rPr>
        <w:t>准确性</w:t>
      </w:r>
    </w:p>
    <w:p w14:paraId="3C8738DA">
      <w:pPr>
        <w:pStyle w:val="230"/>
        <w:ind w:firstLine="420"/>
      </w:pPr>
      <w:r>
        <w:rPr>
          <w:rFonts w:hint="eastAsia"/>
        </w:rPr>
        <w:t>中红外光谱法的测定结果,与按照表B.1所列的标准试验方法的测定结果之差不应超过表B.2所列数值。</w:t>
      </w:r>
    </w:p>
    <w:p w14:paraId="4C24BF62">
      <w:pPr>
        <w:pStyle w:val="233"/>
        <w:spacing w:beforeLines="50" w:beforeAutospacing="0" w:afterLines="50" w:afterAutospacing="0"/>
      </w:pPr>
      <w:r>
        <w:rPr>
          <w:rFonts w:hint="eastAsia"/>
        </w:rPr>
        <w:t>表B.2车用柴油各项质量指标重复性和准确性</w:t>
      </w:r>
    </w:p>
    <w:tbl>
      <w:tblPr>
        <w:tblStyle w:val="27"/>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3118"/>
        <w:gridCol w:w="3119"/>
        <w:gridCol w:w="3119"/>
      </w:tblGrid>
      <w:tr w14:paraId="21278EA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tcBorders>
              <w:top w:val="single" w:color="000000" w:themeColor="text1" w:sz="12" w:space="0"/>
              <w:bottom w:val="single" w:color="000000" w:themeColor="text1" w:sz="12" w:space="0"/>
            </w:tcBorders>
            <w:vAlign w:val="center"/>
          </w:tcPr>
          <w:p w14:paraId="0049B7D2">
            <w:pPr>
              <w:spacing w:line="240" w:lineRule="auto"/>
              <w:jc w:val="center"/>
              <w:rPr>
                <w:rFonts w:ascii="宋体" w:hAnsi="宋体"/>
                <w:sz w:val="18"/>
                <w:szCs w:val="18"/>
              </w:rPr>
            </w:pPr>
            <w:r>
              <w:rPr>
                <w:rFonts w:hint="eastAsia" w:ascii="宋体" w:hAnsi="宋体"/>
                <w:sz w:val="18"/>
                <w:szCs w:val="18"/>
              </w:rPr>
              <w:t>项  目</w:t>
            </w:r>
          </w:p>
        </w:tc>
        <w:tc>
          <w:tcPr>
            <w:tcW w:w="3119" w:type="dxa"/>
            <w:tcBorders>
              <w:top w:val="single" w:color="000000" w:themeColor="text1" w:sz="12" w:space="0"/>
              <w:bottom w:val="single" w:color="000000" w:themeColor="text1" w:sz="12" w:space="0"/>
            </w:tcBorders>
            <w:vAlign w:val="center"/>
          </w:tcPr>
          <w:p w14:paraId="37A0444F">
            <w:pPr>
              <w:spacing w:line="240" w:lineRule="auto"/>
              <w:jc w:val="center"/>
              <w:rPr>
                <w:rFonts w:ascii="宋体" w:hAnsi="宋体"/>
                <w:sz w:val="18"/>
                <w:szCs w:val="18"/>
              </w:rPr>
            </w:pPr>
            <w:r>
              <w:rPr>
                <w:rFonts w:hint="eastAsia" w:ascii="宋体" w:hAnsi="宋体"/>
                <w:sz w:val="18"/>
                <w:szCs w:val="18"/>
              </w:rPr>
              <w:t>重复性</w:t>
            </w:r>
          </w:p>
        </w:tc>
        <w:tc>
          <w:tcPr>
            <w:tcW w:w="3119" w:type="dxa"/>
            <w:tcBorders>
              <w:top w:val="single" w:color="000000" w:themeColor="text1" w:sz="12" w:space="0"/>
              <w:bottom w:val="single" w:color="000000" w:themeColor="text1" w:sz="12" w:space="0"/>
            </w:tcBorders>
            <w:vAlign w:val="center"/>
          </w:tcPr>
          <w:p w14:paraId="35DA48F0">
            <w:pPr>
              <w:spacing w:line="240" w:lineRule="auto"/>
              <w:jc w:val="center"/>
              <w:rPr>
                <w:rFonts w:ascii="宋体" w:hAnsi="宋体"/>
                <w:sz w:val="18"/>
                <w:szCs w:val="18"/>
              </w:rPr>
            </w:pPr>
            <w:r>
              <w:rPr>
                <w:rFonts w:hint="eastAsia" w:ascii="宋体" w:hAnsi="宋体"/>
                <w:sz w:val="18"/>
                <w:szCs w:val="18"/>
              </w:rPr>
              <w:t>准确性</w:t>
            </w:r>
          </w:p>
        </w:tc>
      </w:tr>
      <w:tr w14:paraId="6421ADF3">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tcBorders>
              <w:top w:val="single" w:color="000000" w:themeColor="text1" w:sz="12" w:space="0"/>
            </w:tcBorders>
            <w:vAlign w:val="center"/>
          </w:tcPr>
          <w:p w14:paraId="542C94C6">
            <w:pPr>
              <w:spacing w:line="240" w:lineRule="auto"/>
              <w:jc w:val="center"/>
              <w:rPr>
                <w:rFonts w:ascii="宋体" w:hAnsi="宋体"/>
                <w:bCs/>
                <w:sz w:val="18"/>
                <w:szCs w:val="18"/>
              </w:rPr>
            </w:pPr>
            <w:r>
              <w:rPr>
                <w:rFonts w:hint="eastAsia" w:ascii="宋体" w:hAnsi="宋体"/>
                <w:sz w:val="18"/>
                <w:szCs w:val="18"/>
              </w:rPr>
              <w:t xml:space="preserve">多环芳烃含量（质量分数）/%    </w:t>
            </w:r>
          </w:p>
        </w:tc>
        <w:tc>
          <w:tcPr>
            <w:tcW w:w="3119" w:type="dxa"/>
            <w:tcBorders>
              <w:top w:val="single" w:color="000000" w:themeColor="text1" w:sz="12" w:space="0"/>
            </w:tcBorders>
            <w:vAlign w:val="center"/>
          </w:tcPr>
          <w:p w14:paraId="26D3A6EB">
            <w:pPr>
              <w:spacing w:line="240" w:lineRule="auto"/>
              <w:jc w:val="center"/>
              <w:rPr>
                <w:rFonts w:ascii="宋体" w:hAnsi="宋体"/>
                <w:sz w:val="18"/>
                <w:szCs w:val="18"/>
              </w:rPr>
            </w:pPr>
            <w:r>
              <w:rPr>
                <w:rFonts w:hint="eastAsia" w:ascii="宋体" w:hAnsi="宋体"/>
                <w:sz w:val="18"/>
                <w:szCs w:val="18"/>
              </w:rPr>
              <w:t>同NB/SH/T 0806重复性</w:t>
            </w:r>
          </w:p>
        </w:tc>
        <w:tc>
          <w:tcPr>
            <w:tcW w:w="3119" w:type="dxa"/>
            <w:tcBorders>
              <w:top w:val="single" w:color="000000" w:themeColor="text1" w:sz="12" w:space="0"/>
            </w:tcBorders>
            <w:vAlign w:val="center"/>
          </w:tcPr>
          <w:p w14:paraId="6106D88C">
            <w:pPr>
              <w:spacing w:line="240" w:lineRule="auto"/>
              <w:jc w:val="center"/>
              <w:rPr>
                <w:rFonts w:ascii="宋体" w:hAnsi="宋体"/>
                <w:sz w:val="18"/>
                <w:szCs w:val="18"/>
              </w:rPr>
            </w:pPr>
            <w:r>
              <w:rPr>
                <w:rFonts w:hint="eastAsia" w:ascii="宋体" w:hAnsi="宋体"/>
                <w:sz w:val="18"/>
                <w:szCs w:val="18"/>
              </w:rPr>
              <w:t>同NB/SH/T 0806再现性</w:t>
            </w:r>
          </w:p>
        </w:tc>
      </w:tr>
      <w:tr w14:paraId="03A3A1C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vAlign w:val="center"/>
          </w:tcPr>
          <w:p w14:paraId="342B28FF">
            <w:pPr>
              <w:spacing w:line="240" w:lineRule="auto"/>
              <w:jc w:val="center"/>
              <w:rPr>
                <w:rFonts w:ascii="宋体" w:hAnsi="宋体"/>
                <w:bCs/>
                <w:sz w:val="18"/>
                <w:szCs w:val="18"/>
              </w:rPr>
            </w:pPr>
            <w:r>
              <w:rPr>
                <w:rFonts w:hint="eastAsia" w:ascii="宋体" w:hAnsi="宋体"/>
                <w:sz w:val="18"/>
                <w:szCs w:val="18"/>
              </w:rPr>
              <w:t xml:space="preserve">冷滤点/℃   </w:t>
            </w:r>
          </w:p>
        </w:tc>
        <w:tc>
          <w:tcPr>
            <w:tcW w:w="3119" w:type="dxa"/>
            <w:vAlign w:val="center"/>
          </w:tcPr>
          <w:p w14:paraId="45853F3E">
            <w:pPr>
              <w:spacing w:line="240" w:lineRule="auto"/>
              <w:jc w:val="center"/>
              <w:rPr>
                <w:rFonts w:ascii="宋体" w:hAnsi="宋体"/>
                <w:sz w:val="18"/>
                <w:szCs w:val="18"/>
              </w:rPr>
            </w:pPr>
            <w:r>
              <w:rPr>
                <w:rFonts w:hint="eastAsia" w:ascii="宋体" w:hAnsi="宋体"/>
                <w:sz w:val="18"/>
                <w:szCs w:val="18"/>
              </w:rPr>
              <w:t>1.2-0.027X</w:t>
            </w:r>
          </w:p>
        </w:tc>
        <w:tc>
          <w:tcPr>
            <w:tcW w:w="3119" w:type="dxa"/>
            <w:vAlign w:val="center"/>
          </w:tcPr>
          <w:p w14:paraId="1E9FD85D">
            <w:pPr>
              <w:spacing w:line="240" w:lineRule="auto"/>
              <w:jc w:val="center"/>
              <w:rPr>
                <w:rFonts w:ascii="宋体" w:hAnsi="宋体"/>
                <w:sz w:val="18"/>
                <w:szCs w:val="18"/>
              </w:rPr>
            </w:pPr>
            <w:r>
              <w:rPr>
                <w:rFonts w:hint="eastAsia" w:ascii="宋体" w:hAnsi="宋体"/>
                <w:sz w:val="18"/>
                <w:szCs w:val="18"/>
              </w:rPr>
              <w:t>3.0-0.060X</w:t>
            </w:r>
          </w:p>
        </w:tc>
      </w:tr>
      <w:tr w14:paraId="5A409725">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vAlign w:val="center"/>
          </w:tcPr>
          <w:p w14:paraId="381FEB4B">
            <w:pPr>
              <w:spacing w:line="240" w:lineRule="auto"/>
              <w:jc w:val="center"/>
              <w:rPr>
                <w:rFonts w:ascii="宋体" w:hAnsi="宋体"/>
                <w:bCs/>
                <w:sz w:val="18"/>
                <w:szCs w:val="18"/>
              </w:rPr>
            </w:pPr>
            <w:r>
              <w:rPr>
                <w:rFonts w:hint="eastAsia" w:ascii="宋体" w:hAnsi="宋体"/>
                <w:bCs/>
                <w:sz w:val="18"/>
                <w:szCs w:val="18"/>
              </w:rPr>
              <w:t>十六烷指数</w:t>
            </w:r>
          </w:p>
        </w:tc>
        <w:tc>
          <w:tcPr>
            <w:tcW w:w="3119" w:type="dxa"/>
            <w:vAlign w:val="center"/>
          </w:tcPr>
          <w:p w14:paraId="746B17C2">
            <w:pPr>
              <w:spacing w:line="240" w:lineRule="auto"/>
              <w:jc w:val="center"/>
              <w:rPr>
                <w:rFonts w:ascii="宋体" w:hAnsi="宋体"/>
                <w:sz w:val="18"/>
                <w:szCs w:val="18"/>
              </w:rPr>
            </w:pPr>
            <w:r>
              <w:rPr>
                <w:rFonts w:hint="eastAsia" w:ascii="宋体" w:hAnsi="宋体"/>
                <w:sz w:val="18"/>
                <w:szCs w:val="18"/>
              </w:rPr>
              <w:t>1.5</w:t>
            </w:r>
          </w:p>
        </w:tc>
        <w:tc>
          <w:tcPr>
            <w:tcW w:w="3119" w:type="dxa"/>
            <w:vAlign w:val="center"/>
          </w:tcPr>
          <w:p w14:paraId="784CF87A">
            <w:pPr>
              <w:spacing w:line="240" w:lineRule="auto"/>
              <w:jc w:val="center"/>
              <w:rPr>
                <w:rFonts w:ascii="宋体" w:hAnsi="宋体"/>
                <w:sz w:val="18"/>
                <w:szCs w:val="18"/>
              </w:rPr>
            </w:pPr>
            <w:r>
              <w:rPr>
                <w:rFonts w:hint="eastAsia" w:ascii="宋体" w:hAnsi="宋体"/>
                <w:sz w:val="18"/>
                <w:szCs w:val="18"/>
              </w:rPr>
              <w:t>2.0</w:t>
            </w:r>
          </w:p>
        </w:tc>
      </w:tr>
      <w:tr w14:paraId="080A39C7">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vAlign w:val="center"/>
          </w:tcPr>
          <w:p w14:paraId="097D2577">
            <w:pPr>
              <w:spacing w:line="240" w:lineRule="auto"/>
              <w:jc w:val="center"/>
              <w:rPr>
                <w:rFonts w:ascii="宋体" w:hAnsi="宋体"/>
                <w:bCs/>
                <w:sz w:val="18"/>
                <w:szCs w:val="18"/>
              </w:rPr>
            </w:pPr>
            <w:r>
              <w:rPr>
                <w:rFonts w:hint="eastAsia" w:ascii="宋体" w:hAnsi="宋体"/>
                <w:bCs/>
                <w:sz w:val="18"/>
                <w:szCs w:val="18"/>
              </w:rPr>
              <w:t>馏程</w:t>
            </w:r>
            <w:r>
              <w:rPr>
                <w:rFonts w:hint="eastAsia" w:ascii="宋体" w:hAnsi="宋体"/>
                <w:sz w:val="18"/>
                <w:szCs w:val="18"/>
              </w:rPr>
              <w:t>/℃</w:t>
            </w:r>
          </w:p>
        </w:tc>
        <w:tc>
          <w:tcPr>
            <w:tcW w:w="3119" w:type="dxa"/>
            <w:vAlign w:val="center"/>
          </w:tcPr>
          <w:p w14:paraId="5AE0DDE4">
            <w:pPr>
              <w:spacing w:line="240" w:lineRule="auto"/>
              <w:jc w:val="center"/>
              <w:rPr>
                <w:rFonts w:ascii="宋体" w:hAnsi="宋体"/>
                <w:sz w:val="18"/>
                <w:szCs w:val="18"/>
              </w:rPr>
            </w:pPr>
            <w:r>
              <w:rPr>
                <w:rFonts w:hint="eastAsia" w:ascii="宋体" w:hAnsi="宋体"/>
                <w:sz w:val="18"/>
                <w:szCs w:val="18"/>
              </w:rPr>
              <w:t>同GB/T 6536重复性</w:t>
            </w:r>
          </w:p>
        </w:tc>
        <w:tc>
          <w:tcPr>
            <w:tcW w:w="3119" w:type="dxa"/>
            <w:vAlign w:val="center"/>
          </w:tcPr>
          <w:p w14:paraId="235C7511">
            <w:pPr>
              <w:spacing w:line="240" w:lineRule="auto"/>
              <w:jc w:val="center"/>
              <w:rPr>
                <w:rFonts w:ascii="宋体" w:hAnsi="宋体"/>
                <w:sz w:val="18"/>
                <w:szCs w:val="18"/>
              </w:rPr>
            </w:pPr>
            <w:r>
              <w:rPr>
                <w:rFonts w:hint="eastAsia" w:ascii="宋体" w:hAnsi="宋体"/>
                <w:sz w:val="18"/>
                <w:szCs w:val="18"/>
              </w:rPr>
              <w:t>同GB/T 6536再现性</w:t>
            </w:r>
          </w:p>
        </w:tc>
      </w:tr>
      <w:tr w14:paraId="1FAF7C4B">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3118" w:type="dxa"/>
            <w:tcBorders>
              <w:bottom w:val="single" w:color="000000" w:themeColor="text1" w:sz="12" w:space="0"/>
            </w:tcBorders>
            <w:vAlign w:val="center"/>
          </w:tcPr>
          <w:p w14:paraId="2742D71A">
            <w:pPr>
              <w:spacing w:line="240" w:lineRule="auto"/>
              <w:jc w:val="center"/>
              <w:rPr>
                <w:rFonts w:ascii="宋体" w:hAnsi="宋体"/>
                <w:bCs/>
                <w:sz w:val="18"/>
                <w:szCs w:val="18"/>
              </w:rPr>
            </w:pPr>
            <w:r>
              <w:rPr>
                <w:rFonts w:hint="eastAsia" w:ascii="宋体" w:hAnsi="宋体"/>
                <w:sz w:val="18"/>
                <w:szCs w:val="18"/>
              </w:rPr>
              <w:t xml:space="preserve">脂肪酸甲酯含量（体积分数），%   </w:t>
            </w:r>
          </w:p>
        </w:tc>
        <w:tc>
          <w:tcPr>
            <w:tcW w:w="3119" w:type="dxa"/>
            <w:tcBorders>
              <w:bottom w:val="single" w:color="000000" w:themeColor="text1" w:sz="12" w:space="0"/>
            </w:tcBorders>
            <w:vAlign w:val="center"/>
          </w:tcPr>
          <w:p w14:paraId="1D2E616F">
            <w:pPr>
              <w:spacing w:line="240" w:lineRule="auto"/>
              <w:jc w:val="center"/>
              <w:rPr>
                <w:rFonts w:ascii="宋体" w:hAnsi="宋体"/>
                <w:sz w:val="18"/>
                <w:szCs w:val="18"/>
              </w:rPr>
            </w:pPr>
            <w:r>
              <w:rPr>
                <w:rFonts w:hint="eastAsia" w:ascii="宋体" w:hAnsi="宋体"/>
                <w:sz w:val="18"/>
                <w:szCs w:val="18"/>
              </w:rPr>
              <w:t>同NB/SH/T 0916重复性</w:t>
            </w:r>
          </w:p>
        </w:tc>
        <w:tc>
          <w:tcPr>
            <w:tcW w:w="3119" w:type="dxa"/>
            <w:tcBorders>
              <w:bottom w:val="single" w:color="000000" w:themeColor="text1" w:sz="12" w:space="0"/>
            </w:tcBorders>
            <w:vAlign w:val="center"/>
          </w:tcPr>
          <w:p w14:paraId="259FE91F">
            <w:pPr>
              <w:spacing w:line="240" w:lineRule="auto"/>
              <w:jc w:val="center"/>
              <w:rPr>
                <w:rFonts w:ascii="宋体" w:hAnsi="宋体"/>
                <w:sz w:val="18"/>
                <w:szCs w:val="18"/>
              </w:rPr>
            </w:pPr>
            <w:r>
              <w:rPr>
                <w:rFonts w:hint="eastAsia" w:ascii="宋体" w:hAnsi="宋体"/>
                <w:sz w:val="18"/>
                <w:szCs w:val="18"/>
              </w:rPr>
              <w:t>同NB/SH/T 0916再现性</w:t>
            </w:r>
          </w:p>
        </w:tc>
      </w:tr>
      <w:tr w14:paraId="2EADB4C6">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exact"/>
          <w:jc w:val="center"/>
        </w:trPr>
        <w:tc>
          <w:tcPr>
            <w:tcW w:w="9356" w:type="dxa"/>
            <w:gridSpan w:val="3"/>
            <w:tcBorders>
              <w:top w:val="single" w:color="000000" w:themeColor="text1" w:sz="12" w:space="0"/>
              <w:bottom w:val="single" w:color="000000" w:themeColor="text1" w:sz="12" w:space="0"/>
            </w:tcBorders>
            <w:vAlign w:val="center"/>
          </w:tcPr>
          <w:p w14:paraId="2B5F399F">
            <w:pPr>
              <w:spacing w:line="240" w:lineRule="auto"/>
              <w:jc w:val="left"/>
              <w:rPr>
                <w:rFonts w:ascii="宋体" w:hAnsi="宋体"/>
                <w:sz w:val="18"/>
                <w:szCs w:val="18"/>
              </w:rPr>
            </w:pPr>
            <w:r>
              <w:rPr>
                <w:rFonts w:hint="eastAsia" w:ascii="宋体" w:hAnsi="宋体"/>
                <w:sz w:val="18"/>
                <w:szCs w:val="18"/>
              </w:rPr>
              <w:t>注：X为用于比较的两个结果的平均值。</w:t>
            </w:r>
          </w:p>
        </w:tc>
      </w:tr>
      <w:bookmarkEnd w:id="45"/>
    </w:tbl>
    <w:p w14:paraId="7D421756">
      <w:pPr>
        <w:pStyle w:val="56"/>
        <w:ind w:firstLine="0" w:firstLineChars="0"/>
        <w:jc w:val="center"/>
      </w:pPr>
      <w:bookmarkStart w:id="46" w:name="BookMark8"/>
      <w:r>
        <w:rPr>
          <w:rFonts w:hint="eastAsia"/>
        </w:rPr>
        <w:drawing>
          <wp:inline distT="0" distB="0" distL="0" distR="0">
            <wp:extent cx="1485900" cy="317500"/>
            <wp:effectExtent l="0" t="0" r="0" b="0"/>
            <wp:docPr id="439945597" name="图片 1"/>
            <wp:cNvGraphicFramePr/>
            <a:graphic xmlns:a="http://schemas.openxmlformats.org/drawingml/2006/main">
              <a:graphicData uri="http://schemas.openxmlformats.org/drawingml/2006/picture">
                <pic:pic xmlns:pic="http://schemas.openxmlformats.org/drawingml/2006/picture">
                  <pic:nvPicPr>
                    <pic:cNvPr id="439945597"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A0C8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CCD9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B26774">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67E1E">
    <w:pPr>
      <w:pStyle w:val="52"/>
    </w:pPr>
    <w:r>
      <w:fldChar w:fldCharType="begin"/>
    </w:r>
    <w:r>
      <w:instrText xml:space="preserve">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5AAF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B236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7FB78">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951ED">
    <w:pPr>
      <w:pStyle w:val="61"/>
      <w:rPr>
        <w:lang w:val="fr-FR"/>
      </w:rPr>
    </w:pPr>
    <w:r>
      <w:fldChar w:fldCharType="begin"/>
    </w:r>
    <w:r>
      <w:instrText xml:space="preserve"> STYLEREF  标准文件_文件编号  \* MERGEFORMAT </w:instrText>
    </w:r>
    <w:r>
      <w:fldChar w:fldCharType="separate"/>
    </w:r>
    <w:r>
      <w:t>DB32/TXXXX—2024</w:t>
    </w:r>
    <w:r>
      <w:rPr>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EA23E">
    <w:pPr>
      <w:pStyle w:val="18"/>
      <w:jc w:val="right"/>
      <w:rPr>
        <w:lang w:val="fr-FR"/>
      </w:rPr>
    </w:pPr>
    <w:r>
      <w:fldChar w:fldCharType="begin"/>
    </w:r>
    <w:r>
      <w:instrText xml:space="preserve"> STYLEREF  标准文件_文件编号  \* MERGEFORMAT </w:instrText>
    </w:r>
    <w:r>
      <w:fldChar w:fldCharType="separate"/>
    </w:r>
    <w:r>
      <w:t>DB32/TXXXX—2024</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3686"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568"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VkYzQwNzU5NTM0NjJiZDZmMTU4NDQ3NGRjYjZkMjUifQ=="/>
  </w:docVars>
  <w:rsids>
    <w:rsidRoot w:val="002F00A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7AE9"/>
    <w:rsid w:val="0004249A"/>
    <w:rsid w:val="00043282"/>
    <w:rsid w:val="00044286"/>
    <w:rsid w:val="00047F28"/>
    <w:rsid w:val="000503AA"/>
    <w:rsid w:val="000506A1"/>
    <w:rsid w:val="000515DD"/>
    <w:rsid w:val="0005265A"/>
    <w:rsid w:val="000539DD"/>
    <w:rsid w:val="00053BD3"/>
    <w:rsid w:val="00054D8B"/>
    <w:rsid w:val="000556ED"/>
    <w:rsid w:val="00055FE2"/>
    <w:rsid w:val="0005616F"/>
    <w:rsid w:val="00060C2E"/>
    <w:rsid w:val="00061033"/>
    <w:rsid w:val="000619E9"/>
    <w:rsid w:val="000622D4"/>
    <w:rsid w:val="0006357D"/>
    <w:rsid w:val="00066536"/>
    <w:rsid w:val="00067F1E"/>
    <w:rsid w:val="000709FA"/>
    <w:rsid w:val="00071CC0"/>
    <w:rsid w:val="00073B02"/>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B7D"/>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7D7"/>
    <w:rsid w:val="000D753B"/>
    <w:rsid w:val="000E0DFF"/>
    <w:rsid w:val="000E4C9E"/>
    <w:rsid w:val="000E6FD7"/>
    <w:rsid w:val="000F06E1"/>
    <w:rsid w:val="000F0E3C"/>
    <w:rsid w:val="000F19D5"/>
    <w:rsid w:val="000F4AEA"/>
    <w:rsid w:val="000F4D5E"/>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4778B"/>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6E8"/>
    <w:rsid w:val="00170804"/>
    <w:rsid w:val="001708E9"/>
    <w:rsid w:val="00171052"/>
    <w:rsid w:val="001727AC"/>
    <w:rsid w:val="0017340B"/>
    <w:rsid w:val="00173FB1"/>
    <w:rsid w:val="00176DFD"/>
    <w:rsid w:val="001824BE"/>
    <w:rsid w:val="001852C9"/>
    <w:rsid w:val="00190087"/>
    <w:rsid w:val="001913C4"/>
    <w:rsid w:val="0019148C"/>
    <w:rsid w:val="0019348F"/>
    <w:rsid w:val="00193A07"/>
    <w:rsid w:val="00194C95"/>
    <w:rsid w:val="00195C34"/>
    <w:rsid w:val="00196EF5"/>
    <w:rsid w:val="001A1A53"/>
    <w:rsid w:val="001A234A"/>
    <w:rsid w:val="001A4CF3"/>
    <w:rsid w:val="001A5177"/>
    <w:rsid w:val="001B06E8"/>
    <w:rsid w:val="001B1D35"/>
    <w:rsid w:val="001B2670"/>
    <w:rsid w:val="001B71D0"/>
    <w:rsid w:val="001B71EE"/>
    <w:rsid w:val="001C04A8"/>
    <w:rsid w:val="001C2C03"/>
    <w:rsid w:val="001C42F7"/>
    <w:rsid w:val="001C49E5"/>
    <w:rsid w:val="001C680C"/>
    <w:rsid w:val="001C7FEA"/>
    <w:rsid w:val="001D0499"/>
    <w:rsid w:val="001D0BBE"/>
    <w:rsid w:val="001D0D3B"/>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0AA8"/>
    <w:rsid w:val="0020107D"/>
    <w:rsid w:val="00202AA4"/>
    <w:rsid w:val="002031F7"/>
    <w:rsid w:val="002040E6"/>
    <w:rsid w:val="00204CAE"/>
    <w:rsid w:val="0020527B"/>
    <w:rsid w:val="00205F2C"/>
    <w:rsid w:val="00210B15"/>
    <w:rsid w:val="002142EA"/>
    <w:rsid w:val="002204BB"/>
    <w:rsid w:val="00221B79"/>
    <w:rsid w:val="00221C6B"/>
    <w:rsid w:val="002253A1"/>
    <w:rsid w:val="00225CF8"/>
    <w:rsid w:val="0022794E"/>
    <w:rsid w:val="00233D64"/>
    <w:rsid w:val="0023482A"/>
    <w:rsid w:val="002359CB"/>
    <w:rsid w:val="00243019"/>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773B1"/>
    <w:rsid w:val="0028054A"/>
    <w:rsid w:val="00281BB8"/>
    <w:rsid w:val="00281E9E"/>
    <w:rsid w:val="00282405"/>
    <w:rsid w:val="00284C6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0A"/>
    <w:rsid w:val="002A5977"/>
    <w:rsid w:val="002A5A13"/>
    <w:rsid w:val="002A757F"/>
    <w:rsid w:val="002A779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CFF"/>
    <w:rsid w:val="002D6EC6"/>
    <w:rsid w:val="002D79AC"/>
    <w:rsid w:val="002E039D"/>
    <w:rsid w:val="002E0FC8"/>
    <w:rsid w:val="002E2296"/>
    <w:rsid w:val="002E4D5A"/>
    <w:rsid w:val="002E6326"/>
    <w:rsid w:val="002E7B03"/>
    <w:rsid w:val="002F00AC"/>
    <w:rsid w:val="002F30E0"/>
    <w:rsid w:val="002F35E4"/>
    <w:rsid w:val="002F3730"/>
    <w:rsid w:val="002F38E1"/>
    <w:rsid w:val="002F718E"/>
    <w:rsid w:val="002F7AF6"/>
    <w:rsid w:val="00300E63"/>
    <w:rsid w:val="00302F5F"/>
    <w:rsid w:val="0030441D"/>
    <w:rsid w:val="00306063"/>
    <w:rsid w:val="00313B85"/>
    <w:rsid w:val="00317988"/>
    <w:rsid w:val="003221B4"/>
    <w:rsid w:val="0032258D"/>
    <w:rsid w:val="00322E62"/>
    <w:rsid w:val="00324D13"/>
    <w:rsid w:val="00324D2A"/>
    <w:rsid w:val="00324EDD"/>
    <w:rsid w:val="00327898"/>
    <w:rsid w:val="003331E4"/>
    <w:rsid w:val="00336C64"/>
    <w:rsid w:val="00337162"/>
    <w:rsid w:val="00341943"/>
    <w:rsid w:val="0034194F"/>
    <w:rsid w:val="00344605"/>
    <w:rsid w:val="003474AA"/>
    <w:rsid w:val="00350D1D"/>
    <w:rsid w:val="00352C83"/>
    <w:rsid w:val="003562CA"/>
    <w:rsid w:val="003615D2"/>
    <w:rsid w:val="0036429C"/>
    <w:rsid w:val="00364A53"/>
    <w:rsid w:val="003654CB"/>
    <w:rsid w:val="00365AA9"/>
    <w:rsid w:val="00365F86"/>
    <w:rsid w:val="00365F87"/>
    <w:rsid w:val="00366E89"/>
    <w:rsid w:val="003705F4"/>
    <w:rsid w:val="00370D58"/>
    <w:rsid w:val="00371316"/>
    <w:rsid w:val="003749F9"/>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732"/>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C00"/>
    <w:rsid w:val="0041477A"/>
    <w:rsid w:val="004167A3"/>
    <w:rsid w:val="004248FD"/>
    <w:rsid w:val="00432DAA"/>
    <w:rsid w:val="00434305"/>
    <w:rsid w:val="00435DF7"/>
    <w:rsid w:val="0044083F"/>
    <w:rsid w:val="00441AE7"/>
    <w:rsid w:val="00445574"/>
    <w:rsid w:val="004467FB"/>
    <w:rsid w:val="004517C7"/>
    <w:rsid w:val="00452D6B"/>
    <w:rsid w:val="00453481"/>
    <w:rsid w:val="00454484"/>
    <w:rsid w:val="0045517B"/>
    <w:rsid w:val="00463B77"/>
    <w:rsid w:val="00463C7B"/>
    <w:rsid w:val="004644A6"/>
    <w:rsid w:val="004659BD"/>
    <w:rsid w:val="00470775"/>
    <w:rsid w:val="004746B1"/>
    <w:rsid w:val="0047583F"/>
    <w:rsid w:val="00475DE8"/>
    <w:rsid w:val="0048131C"/>
    <w:rsid w:val="00481C44"/>
    <w:rsid w:val="00484936"/>
    <w:rsid w:val="00485C89"/>
    <w:rsid w:val="00486BE3"/>
    <w:rsid w:val="004905E4"/>
    <w:rsid w:val="00490A89"/>
    <w:rsid w:val="00490AB4"/>
    <w:rsid w:val="00492F02"/>
    <w:rsid w:val="004939AE"/>
    <w:rsid w:val="004A12DF"/>
    <w:rsid w:val="004A17E6"/>
    <w:rsid w:val="004A1BA8"/>
    <w:rsid w:val="004A39B1"/>
    <w:rsid w:val="004A4B57"/>
    <w:rsid w:val="004A63FA"/>
    <w:rsid w:val="004B0272"/>
    <w:rsid w:val="004B2701"/>
    <w:rsid w:val="004B2E1B"/>
    <w:rsid w:val="004B33D0"/>
    <w:rsid w:val="004B3AA8"/>
    <w:rsid w:val="004B3E93"/>
    <w:rsid w:val="004B63EB"/>
    <w:rsid w:val="004C1FBC"/>
    <w:rsid w:val="004C3F1D"/>
    <w:rsid w:val="004C458D"/>
    <w:rsid w:val="004C47E3"/>
    <w:rsid w:val="004C7556"/>
    <w:rsid w:val="004C7E8B"/>
    <w:rsid w:val="004C7E9D"/>
    <w:rsid w:val="004C7F67"/>
    <w:rsid w:val="004D0144"/>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E7418"/>
    <w:rsid w:val="004F391A"/>
    <w:rsid w:val="004F3CFB"/>
    <w:rsid w:val="004F6456"/>
    <w:rsid w:val="004F696E"/>
    <w:rsid w:val="004F6C71"/>
    <w:rsid w:val="00501139"/>
    <w:rsid w:val="0050363E"/>
    <w:rsid w:val="005039BC"/>
    <w:rsid w:val="005043BB"/>
    <w:rsid w:val="00504A3D"/>
    <w:rsid w:val="00505767"/>
    <w:rsid w:val="005073F0"/>
    <w:rsid w:val="00510A7B"/>
    <w:rsid w:val="00511B5F"/>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03D"/>
    <w:rsid w:val="00561475"/>
    <w:rsid w:val="005636A7"/>
    <w:rsid w:val="0056487B"/>
    <w:rsid w:val="00564FB9"/>
    <w:rsid w:val="0056573F"/>
    <w:rsid w:val="005668A1"/>
    <w:rsid w:val="00573D9E"/>
    <w:rsid w:val="005801A5"/>
    <w:rsid w:val="005801E3"/>
    <w:rsid w:val="00581802"/>
    <w:rsid w:val="005836A8"/>
    <w:rsid w:val="0058409C"/>
    <w:rsid w:val="00584262"/>
    <w:rsid w:val="00586630"/>
    <w:rsid w:val="00587ADD"/>
    <w:rsid w:val="00591835"/>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5F2"/>
    <w:rsid w:val="005D0C75"/>
    <w:rsid w:val="005D4171"/>
    <w:rsid w:val="005D6A95"/>
    <w:rsid w:val="005D6B2C"/>
    <w:rsid w:val="005D6D9C"/>
    <w:rsid w:val="005E2335"/>
    <w:rsid w:val="005E34CA"/>
    <w:rsid w:val="005E3603"/>
    <w:rsid w:val="005E3C18"/>
    <w:rsid w:val="005E6812"/>
    <w:rsid w:val="005E7881"/>
    <w:rsid w:val="005E78E0"/>
    <w:rsid w:val="005F0D9C"/>
    <w:rsid w:val="005F1761"/>
    <w:rsid w:val="005F284E"/>
    <w:rsid w:val="005F4712"/>
    <w:rsid w:val="006015CE"/>
    <w:rsid w:val="00604784"/>
    <w:rsid w:val="00606419"/>
    <w:rsid w:val="00607D29"/>
    <w:rsid w:val="00612952"/>
    <w:rsid w:val="00614C56"/>
    <w:rsid w:val="00614CC1"/>
    <w:rsid w:val="00615A9D"/>
    <w:rsid w:val="00617387"/>
    <w:rsid w:val="006205D6"/>
    <w:rsid w:val="00623E64"/>
    <w:rsid w:val="006252D8"/>
    <w:rsid w:val="006259BC"/>
    <w:rsid w:val="0062636B"/>
    <w:rsid w:val="00632182"/>
    <w:rsid w:val="006325E1"/>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896"/>
    <w:rsid w:val="006640E5"/>
    <w:rsid w:val="006646F1"/>
    <w:rsid w:val="00664929"/>
    <w:rsid w:val="00664F62"/>
    <w:rsid w:val="006655E1"/>
    <w:rsid w:val="006662A9"/>
    <w:rsid w:val="00672060"/>
    <w:rsid w:val="00672BFD"/>
    <w:rsid w:val="00672D2C"/>
    <w:rsid w:val="00675120"/>
    <w:rsid w:val="006770F4"/>
    <w:rsid w:val="00677A84"/>
    <w:rsid w:val="0068026D"/>
    <w:rsid w:val="00680A27"/>
    <w:rsid w:val="006816A4"/>
    <w:rsid w:val="006819B8"/>
    <w:rsid w:val="006840A6"/>
    <w:rsid w:val="006850CD"/>
    <w:rsid w:val="00685AAB"/>
    <w:rsid w:val="00695D22"/>
    <w:rsid w:val="006A07AA"/>
    <w:rsid w:val="006A0EAD"/>
    <w:rsid w:val="006A25E5"/>
    <w:rsid w:val="006A2B46"/>
    <w:rsid w:val="006A336D"/>
    <w:rsid w:val="006A37B9"/>
    <w:rsid w:val="006A6472"/>
    <w:rsid w:val="006B2672"/>
    <w:rsid w:val="006B3060"/>
    <w:rsid w:val="006B54BF"/>
    <w:rsid w:val="006B5F44"/>
    <w:rsid w:val="006B5F90"/>
    <w:rsid w:val="006B62E4"/>
    <w:rsid w:val="006C1BBA"/>
    <w:rsid w:val="006C2079"/>
    <w:rsid w:val="006C274B"/>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4AF8"/>
    <w:rsid w:val="006F6284"/>
    <w:rsid w:val="006F73F4"/>
    <w:rsid w:val="007002C5"/>
    <w:rsid w:val="00704387"/>
    <w:rsid w:val="00707669"/>
    <w:rsid w:val="00711CBA"/>
    <w:rsid w:val="00711FB5"/>
    <w:rsid w:val="00712A01"/>
    <w:rsid w:val="00714F58"/>
    <w:rsid w:val="007222AF"/>
    <w:rsid w:val="00722FBF"/>
    <w:rsid w:val="00722FC2"/>
    <w:rsid w:val="00724580"/>
    <w:rsid w:val="00724879"/>
    <w:rsid w:val="00724E1B"/>
    <w:rsid w:val="00725949"/>
    <w:rsid w:val="00726195"/>
    <w:rsid w:val="00727FA2"/>
    <w:rsid w:val="0073158B"/>
    <w:rsid w:val="007322D9"/>
    <w:rsid w:val="00732BC0"/>
    <w:rsid w:val="0073720F"/>
    <w:rsid w:val="00737796"/>
    <w:rsid w:val="0074165C"/>
    <w:rsid w:val="00742C35"/>
    <w:rsid w:val="007432CA"/>
    <w:rsid w:val="007439EB"/>
    <w:rsid w:val="00743CB4"/>
    <w:rsid w:val="00743F0A"/>
    <w:rsid w:val="007444E8"/>
    <w:rsid w:val="0074548E"/>
    <w:rsid w:val="00745773"/>
    <w:rsid w:val="00745BA5"/>
    <w:rsid w:val="00745C92"/>
    <w:rsid w:val="00746800"/>
    <w:rsid w:val="007501A8"/>
    <w:rsid w:val="00750D61"/>
    <w:rsid w:val="00750EE1"/>
    <w:rsid w:val="00752B4D"/>
    <w:rsid w:val="00755402"/>
    <w:rsid w:val="00756B26"/>
    <w:rsid w:val="00756EDF"/>
    <w:rsid w:val="007600E3"/>
    <w:rsid w:val="00765C43"/>
    <w:rsid w:val="00765CBC"/>
    <w:rsid w:val="00765EFB"/>
    <w:rsid w:val="007671CA"/>
    <w:rsid w:val="00767C61"/>
    <w:rsid w:val="0077008A"/>
    <w:rsid w:val="00773C1F"/>
    <w:rsid w:val="00773D5C"/>
    <w:rsid w:val="00774DA4"/>
    <w:rsid w:val="00776599"/>
    <w:rsid w:val="0078114B"/>
    <w:rsid w:val="00781DD2"/>
    <w:rsid w:val="00783ECF"/>
    <w:rsid w:val="0078413A"/>
    <w:rsid w:val="00791268"/>
    <w:rsid w:val="00792C41"/>
    <w:rsid w:val="007959E8"/>
    <w:rsid w:val="00795E9C"/>
    <w:rsid w:val="007A0521"/>
    <w:rsid w:val="007A22BC"/>
    <w:rsid w:val="007A2E12"/>
    <w:rsid w:val="007A3475"/>
    <w:rsid w:val="007A41C8"/>
    <w:rsid w:val="007A54CE"/>
    <w:rsid w:val="007A6FD9"/>
    <w:rsid w:val="007A7547"/>
    <w:rsid w:val="007A7FFA"/>
    <w:rsid w:val="007B04EB"/>
    <w:rsid w:val="007B0D4F"/>
    <w:rsid w:val="007B5A3D"/>
    <w:rsid w:val="007B5B95"/>
    <w:rsid w:val="007B68EA"/>
    <w:rsid w:val="007B7453"/>
    <w:rsid w:val="007C1E8B"/>
    <w:rsid w:val="007C2D89"/>
    <w:rsid w:val="007C4593"/>
    <w:rsid w:val="007C5309"/>
    <w:rsid w:val="007C6069"/>
    <w:rsid w:val="007C7D44"/>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5E63"/>
    <w:rsid w:val="008269DD"/>
    <w:rsid w:val="00830621"/>
    <w:rsid w:val="00832439"/>
    <w:rsid w:val="0083348C"/>
    <w:rsid w:val="008373D3"/>
    <w:rsid w:val="00840617"/>
    <w:rsid w:val="00840F84"/>
    <w:rsid w:val="00842A47"/>
    <w:rsid w:val="00843C13"/>
    <w:rsid w:val="008454F8"/>
    <w:rsid w:val="0085173A"/>
    <w:rsid w:val="00856316"/>
    <w:rsid w:val="00860355"/>
    <w:rsid w:val="008603CE"/>
    <w:rsid w:val="008620FC"/>
    <w:rsid w:val="008627A5"/>
    <w:rsid w:val="00863E05"/>
    <w:rsid w:val="00864251"/>
    <w:rsid w:val="00865ACA"/>
    <w:rsid w:val="00865D28"/>
    <w:rsid w:val="00865F85"/>
    <w:rsid w:val="00867C10"/>
    <w:rsid w:val="00870439"/>
    <w:rsid w:val="00870DA1"/>
    <w:rsid w:val="00875DFC"/>
    <w:rsid w:val="0088373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4CA6"/>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734"/>
    <w:rsid w:val="008C619A"/>
    <w:rsid w:val="008D0CE8"/>
    <w:rsid w:val="008D2D1D"/>
    <w:rsid w:val="008D453D"/>
    <w:rsid w:val="008D4F97"/>
    <w:rsid w:val="008D53AD"/>
    <w:rsid w:val="008D562B"/>
    <w:rsid w:val="008D5733"/>
    <w:rsid w:val="008D622B"/>
    <w:rsid w:val="008D666C"/>
    <w:rsid w:val="008D7126"/>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5D8"/>
    <w:rsid w:val="009062E6"/>
    <w:rsid w:val="00911BE5"/>
    <w:rsid w:val="00913CA9"/>
    <w:rsid w:val="009145AE"/>
    <w:rsid w:val="009146CE"/>
    <w:rsid w:val="00914CA7"/>
    <w:rsid w:val="00915C3E"/>
    <w:rsid w:val="009161A8"/>
    <w:rsid w:val="009245F5"/>
    <w:rsid w:val="009249EC"/>
    <w:rsid w:val="009273B3"/>
    <w:rsid w:val="009305B5"/>
    <w:rsid w:val="00936334"/>
    <w:rsid w:val="009429D5"/>
    <w:rsid w:val="00942BF1"/>
    <w:rsid w:val="00943D22"/>
    <w:rsid w:val="00945180"/>
    <w:rsid w:val="00945428"/>
    <w:rsid w:val="0094607B"/>
    <w:rsid w:val="009507AC"/>
    <w:rsid w:val="00953604"/>
    <w:rsid w:val="0095496B"/>
    <w:rsid w:val="009610DC"/>
    <w:rsid w:val="00961490"/>
    <w:rsid w:val="0096381A"/>
    <w:rsid w:val="00964B64"/>
    <w:rsid w:val="009652E9"/>
    <w:rsid w:val="00965E04"/>
    <w:rsid w:val="009674AD"/>
    <w:rsid w:val="00970CDC"/>
    <w:rsid w:val="00977010"/>
    <w:rsid w:val="00977D02"/>
    <w:rsid w:val="009809BB"/>
    <w:rsid w:val="0098364B"/>
    <w:rsid w:val="009911AF"/>
    <w:rsid w:val="00991875"/>
    <w:rsid w:val="00991ADE"/>
    <w:rsid w:val="00991F92"/>
    <w:rsid w:val="00992985"/>
    <w:rsid w:val="00993889"/>
    <w:rsid w:val="0099551B"/>
    <w:rsid w:val="00997BF1"/>
    <w:rsid w:val="009A089C"/>
    <w:rsid w:val="009A118E"/>
    <w:rsid w:val="009A1F6E"/>
    <w:rsid w:val="009A21CD"/>
    <w:rsid w:val="009A278C"/>
    <w:rsid w:val="009A2BC2"/>
    <w:rsid w:val="009A42C1"/>
    <w:rsid w:val="009A4BE4"/>
    <w:rsid w:val="009A5429"/>
    <w:rsid w:val="009A72AD"/>
    <w:rsid w:val="009B09E0"/>
    <w:rsid w:val="009B0BC5"/>
    <w:rsid w:val="009B1247"/>
    <w:rsid w:val="009B46F9"/>
    <w:rsid w:val="009B6029"/>
    <w:rsid w:val="009B6971"/>
    <w:rsid w:val="009C23B5"/>
    <w:rsid w:val="009C27F1"/>
    <w:rsid w:val="009C3152"/>
    <w:rsid w:val="009C4CFA"/>
    <w:rsid w:val="009C5070"/>
    <w:rsid w:val="009D0845"/>
    <w:rsid w:val="009D112C"/>
    <w:rsid w:val="009D47FA"/>
    <w:rsid w:val="009D4C5B"/>
    <w:rsid w:val="009D50D2"/>
    <w:rsid w:val="009D6BCA"/>
    <w:rsid w:val="009E071B"/>
    <w:rsid w:val="009E0F62"/>
    <w:rsid w:val="009E3EA0"/>
    <w:rsid w:val="009E4A58"/>
    <w:rsid w:val="009E5A2D"/>
    <w:rsid w:val="009E5AB2"/>
    <w:rsid w:val="009E6219"/>
    <w:rsid w:val="009F03B3"/>
    <w:rsid w:val="009F09B1"/>
    <w:rsid w:val="00A0096C"/>
    <w:rsid w:val="00A01757"/>
    <w:rsid w:val="00A028C0"/>
    <w:rsid w:val="00A02BAE"/>
    <w:rsid w:val="00A05DC7"/>
    <w:rsid w:val="00A06A6B"/>
    <w:rsid w:val="00A07E47"/>
    <w:rsid w:val="00A129D0"/>
    <w:rsid w:val="00A12C33"/>
    <w:rsid w:val="00A138BA"/>
    <w:rsid w:val="00A14C8E"/>
    <w:rsid w:val="00A153D9"/>
    <w:rsid w:val="00A15F09"/>
    <w:rsid w:val="00A169B6"/>
    <w:rsid w:val="00A2271D"/>
    <w:rsid w:val="00A237D5"/>
    <w:rsid w:val="00A25FEF"/>
    <w:rsid w:val="00A30041"/>
    <w:rsid w:val="00A30EFC"/>
    <w:rsid w:val="00A31984"/>
    <w:rsid w:val="00A32D73"/>
    <w:rsid w:val="00A3367B"/>
    <w:rsid w:val="00A3597D"/>
    <w:rsid w:val="00A36DD1"/>
    <w:rsid w:val="00A4006C"/>
    <w:rsid w:val="00A40091"/>
    <w:rsid w:val="00A4030F"/>
    <w:rsid w:val="00A4108B"/>
    <w:rsid w:val="00A41C79"/>
    <w:rsid w:val="00A41CB5"/>
    <w:rsid w:val="00A42CDF"/>
    <w:rsid w:val="00A4452E"/>
    <w:rsid w:val="00A4472C"/>
    <w:rsid w:val="00A44E69"/>
    <w:rsid w:val="00A4661E"/>
    <w:rsid w:val="00A47907"/>
    <w:rsid w:val="00A52163"/>
    <w:rsid w:val="00A55BD6"/>
    <w:rsid w:val="00A55D50"/>
    <w:rsid w:val="00A57142"/>
    <w:rsid w:val="00A648CD"/>
    <w:rsid w:val="00A6537A"/>
    <w:rsid w:val="00A66176"/>
    <w:rsid w:val="00A66C04"/>
    <w:rsid w:val="00A67866"/>
    <w:rsid w:val="00A70B07"/>
    <w:rsid w:val="00A723F8"/>
    <w:rsid w:val="00A730F5"/>
    <w:rsid w:val="00A75010"/>
    <w:rsid w:val="00A77CCB"/>
    <w:rsid w:val="00A83D8D"/>
    <w:rsid w:val="00A8446B"/>
    <w:rsid w:val="00A8473F"/>
    <w:rsid w:val="00A8598F"/>
    <w:rsid w:val="00A862D6"/>
    <w:rsid w:val="00A8715E"/>
    <w:rsid w:val="00A9295B"/>
    <w:rsid w:val="00A93B09"/>
    <w:rsid w:val="00A94247"/>
    <w:rsid w:val="00A952D7"/>
    <w:rsid w:val="00A963F7"/>
    <w:rsid w:val="00A96AD8"/>
    <w:rsid w:val="00AA052C"/>
    <w:rsid w:val="00AA1E45"/>
    <w:rsid w:val="00AA41ED"/>
    <w:rsid w:val="00AA4286"/>
    <w:rsid w:val="00AA456B"/>
    <w:rsid w:val="00AA57F5"/>
    <w:rsid w:val="00AA672E"/>
    <w:rsid w:val="00AA6EC9"/>
    <w:rsid w:val="00AA7F3F"/>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44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D25"/>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491C"/>
    <w:rsid w:val="00B96D40"/>
    <w:rsid w:val="00B97386"/>
    <w:rsid w:val="00BA263B"/>
    <w:rsid w:val="00BA42B2"/>
    <w:rsid w:val="00BA58D4"/>
    <w:rsid w:val="00BA5B9E"/>
    <w:rsid w:val="00BA735C"/>
    <w:rsid w:val="00BA7C9A"/>
    <w:rsid w:val="00BB12AA"/>
    <w:rsid w:val="00BB203B"/>
    <w:rsid w:val="00BB2E0D"/>
    <w:rsid w:val="00BB5F8F"/>
    <w:rsid w:val="00BB657A"/>
    <w:rsid w:val="00BC1A4E"/>
    <w:rsid w:val="00BC4790"/>
    <w:rsid w:val="00BC5DC7"/>
    <w:rsid w:val="00BC6B8B"/>
    <w:rsid w:val="00BC73D8"/>
    <w:rsid w:val="00BD52D7"/>
    <w:rsid w:val="00BD5AD2"/>
    <w:rsid w:val="00BE045C"/>
    <w:rsid w:val="00BE22F3"/>
    <w:rsid w:val="00BE5B52"/>
    <w:rsid w:val="00BE7B8D"/>
    <w:rsid w:val="00BF0993"/>
    <w:rsid w:val="00BF10A9"/>
    <w:rsid w:val="00BF1703"/>
    <w:rsid w:val="00BF231C"/>
    <w:rsid w:val="00BF51E5"/>
    <w:rsid w:val="00BF74A6"/>
    <w:rsid w:val="00C003D0"/>
    <w:rsid w:val="00C013AD"/>
    <w:rsid w:val="00C04904"/>
    <w:rsid w:val="00C056B3"/>
    <w:rsid w:val="00C05D95"/>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1844"/>
    <w:rsid w:val="00C42130"/>
    <w:rsid w:val="00C423A4"/>
    <w:rsid w:val="00C44BF5"/>
    <w:rsid w:val="00C46D02"/>
    <w:rsid w:val="00C521D6"/>
    <w:rsid w:val="00C52CDC"/>
    <w:rsid w:val="00C55232"/>
    <w:rsid w:val="00C553A4"/>
    <w:rsid w:val="00C55A06"/>
    <w:rsid w:val="00C55D03"/>
    <w:rsid w:val="00C601BC"/>
    <w:rsid w:val="00C6329F"/>
    <w:rsid w:val="00C63340"/>
    <w:rsid w:val="00C643F9"/>
    <w:rsid w:val="00C64E95"/>
    <w:rsid w:val="00C655A1"/>
    <w:rsid w:val="00C71372"/>
    <w:rsid w:val="00C71D9A"/>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647"/>
    <w:rsid w:val="00CC4AC8"/>
    <w:rsid w:val="00CC5233"/>
    <w:rsid w:val="00CC5DE6"/>
    <w:rsid w:val="00CC6E4E"/>
    <w:rsid w:val="00CC6FE8"/>
    <w:rsid w:val="00CC7202"/>
    <w:rsid w:val="00CC7BFF"/>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3C4"/>
    <w:rsid w:val="00D352A2"/>
    <w:rsid w:val="00D3660F"/>
    <w:rsid w:val="00D41419"/>
    <w:rsid w:val="00D4162B"/>
    <w:rsid w:val="00D421B2"/>
    <w:rsid w:val="00D4514F"/>
    <w:rsid w:val="00D451E2"/>
    <w:rsid w:val="00D45E89"/>
    <w:rsid w:val="00D45E8D"/>
    <w:rsid w:val="00D466AE"/>
    <w:rsid w:val="00D4734F"/>
    <w:rsid w:val="00D51BF3"/>
    <w:rsid w:val="00D65E1B"/>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28"/>
    <w:rsid w:val="00DB38EE"/>
    <w:rsid w:val="00DB498B"/>
    <w:rsid w:val="00DB66CA"/>
    <w:rsid w:val="00DB6BCA"/>
    <w:rsid w:val="00DB73F7"/>
    <w:rsid w:val="00DC0321"/>
    <w:rsid w:val="00DC3067"/>
    <w:rsid w:val="00DC370B"/>
    <w:rsid w:val="00DC37C1"/>
    <w:rsid w:val="00DC5B90"/>
    <w:rsid w:val="00DC7E42"/>
    <w:rsid w:val="00DD00FF"/>
    <w:rsid w:val="00DD0360"/>
    <w:rsid w:val="00DD0619"/>
    <w:rsid w:val="00DD07FB"/>
    <w:rsid w:val="00DD25C6"/>
    <w:rsid w:val="00DD3405"/>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163AF"/>
    <w:rsid w:val="00E202EF"/>
    <w:rsid w:val="00E210B5"/>
    <w:rsid w:val="00E23D99"/>
    <w:rsid w:val="00E2552F"/>
    <w:rsid w:val="00E3137A"/>
    <w:rsid w:val="00E32CCF"/>
    <w:rsid w:val="00E34A98"/>
    <w:rsid w:val="00E35D1E"/>
    <w:rsid w:val="00E35DDB"/>
    <w:rsid w:val="00E364F9"/>
    <w:rsid w:val="00E365FA"/>
    <w:rsid w:val="00E36789"/>
    <w:rsid w:val="00E429C5"/>
    <w:rsid w:val="00E44A83"/>
    <w:rsid w:val="00E502C1"/>
    <w:rsid w:val="00E502DD"/>
    <w:rsid w:val="00E50D3A"/>
    <w:rsid w:val="00E51387"/>
    <w:rsid w:val="00E51E68"/>
    <w:rsid w:val="00E52EFD"/>
    <w:rsid w:val="00E5408A"/>
    <w:rsid w:val="00E5454E"/>
    <w:rsid w:val="00E556E5"/>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0A42"/>
    <w:rsid w:val="00E9311F"/>
    <w:rsid w:val="00E934D1"/>
    <w:rsid w:val="00E94AF0"/>
    <w:rsid w:val="00E95D13"/>
    <w:rsid w:val="00E95DD3"/>
    <w:rsid w:val="00E969D5"/>
    <w:rsid w:val="00EA1A86"/>
    <w:rsid w:val="00EA58D1"/>
    <w:rsid w:val="00EA61BC"/>
    <w:rsid w:val="00EA681A"/>
    <w:rsid w:val="00EA735B"/>
    <w:rsid w:val="00EB11E1"/>
    <w:rsid w:val="00EB17DE"/>
    <w:rsid w:val="00EB1E69"/>
    <w:rsid w:val="00EB2086"/>
    <w:rsid w:val="00EB5EDF"/>
    <w:rsid w:val="00EB60FE"/>
    <w:rsid w:val="00EB74DB"/>
    <w:rsid w:val="00EC1513"/>
    <w:rsid w:val="00EC5359"/>
    <w:rsid w:val="00EC562A"/>
    <w:rsid w:val="00EC582D"/>
    <w:rsid w:val="00ED067A"/>
    <w:rsid w:val="00ED1AED"/>
    <w:rsid w:val="00ED2B50"/>
    <w:rsid w:val="00EE0350"/>
    <w:rsid w:val="00EE0719"/>
    <w:rsid w:val="00EE0E80"/>
    <w:rsid w:val="00EE54A6"/>
    <w:rsid w:val="00EE613F"/>
    <w:rsid w:val="00EE7295"/>
    <w:rsid w:val="00EE7869"/>
    <w:rsid w:val="00EF054A"/>
    <w:rsid w:val="00EF2E11"/>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3FA7"/>
    <w:rsid w:val="00F420D5"/>
    <w:rsid w:val="00F451EA"/>
    <w:rsid w:val="00F45447"/>
    <w:rsid w:val="00F456C6"/>
    <w:rsid w:val="00F4577B"/>
    <w:rsid w:val="00F46496"/>
    <w:rsid w:val="00F4727E"/>
    <w:rsid w:val="00F474D0"/>
    <w:rsid w:val="00F50179"/>
    <w:rsid w:val="00F515EE"/>
    <w:rsid w:val="00F56511"/>
    <w:rsid w:val="00F6194E"/>
    <w:rsid w:val="00F623AC"/>
    <w:rsid w:val="00F6412A"/>
    <w:rsid w:val="00F65893"/>
    <w:rsid w:val="00F66A4A"/>
    <w:rsid w:val="00F71E22"/>
    <w:rsid w:val="00F72142"/>
    <w:rsid w:val="00F72AE7"/>
    <w:rsid w:val="00F75918"/>
    <w:rsid w:val="00F81141"/>
    <w:rsid w:val="00F833BA"/>
    <w:rsid w:val="00F84FD0"/>
    <w:rsid w:val="00F859A8"/>
    <w:rsid w:val="00F86D87"/>
    <w:rsid w:val="00F87110"/>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243C"/>
    <w:rsid w:val="00FB45F1"/>
    <w:rsid w:val="00FB4A72"/>
    <w:rsid w:val="00FB54E8"/>
    <w:rsid w:val="00FB7054"/>
    <w:rsid w:val="00FC17B7"/>
    <w:rsid w:val="00FC2CB7"/>
    <w:rsid w:val="00FC4090"/>
    <w:rsid w:val="00FC55B4"/>
    <w:rsid w:val="00FC6C44"/>
    <w:rsid w:val="00FD00E6"/>
    <w:rsid w:val="00FD09A1"/>
    <w:rsid w:val="00FD2502"/>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BCA5242"/>
    <w:rsid w:val="1F745799"/>
    <w:rsid w:val="21F229A5"/>
    <w:rsid w:val="23337719"/>
    <w:rsid w:val="32496BD1"/>
    <w:rsid w:val="3F2D1B61"/>
    <w:rsid w:val="65B862F9"/>
    <w:rsid w:val="66A53942"/>
    <w:rsid w:val="69C26AE2"/>
    <w:rsid w:val="74050A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b/>
      <w:bCs/>
      <w:kern w:val="44"/>
      <w:sz w:val="44"/>
      <w:szCs w:val="44"/>
    </w:rPr>
  </w:style>
  <w:style w:type="character" w:customStyle="1" w:styleId="35">
    <w:name w:val="标题 2 Char"/>
    <w:link w:val="3"/>
    <w:qFormat/>
    <w:uiPriority w:val="0"/>
    <w:rPr>
      <w:rFonts w:ascii="Arial" w:hAnsi="Arial" w:eastAsia="黑体"/>
      <w:b/>
      <w:bCs/>
      <w:kern w:val="2"/>
      <w:sz w:val="32"/>
      <w:szCs w:val="32"/>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left="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basedOn w:val="1"/>
    <w:qFormat/>
    <w:uiPriority w:val="0"/>
    <w:pPr>
      <w:widowControl/>
      <w:autoSpaceDE w:val="0"/>
      <w:autoSpaceDN w:val="0"/>
      <w:adjustRightInd/>
      <w:spacing w:line="240" w:lineRule="auto"/>
      <w:ind w:firstLine="200" w:firstLineChars="200"/>
    </w:pPr>
    <w:rPr>
      <w:rFonts w:ascii="宋体" w:hAnsi="宋体" w:cs="宋体"/>
      <w:kern w:val="0"/>
    </w:rPr>
  </w:style>
  <w:style w:type="paragraph" w:customStyle="1" w:styleId="231">
    <w:name w:val="一级条标题"/>
    <w:basedOn w:val="1"/>
    <w:next w:val="230"/>
    <w:qFormat/>
    <w:uiPriority w:val="0"/>
    <w:pPr>
      <w:widowControl/>
      <w:adjustRightInd/>
      <w:spacing w:line="240" w:lineRule="auto"/>
      <w:outlineLvl w:val="2"/>
    </w:pPr>
    <w:rPr>
      <w:rFonts w:ascii="黑体" w:hAnsi="黑体" w:eastAsia="黑体" w:cs="宋体"/>
      <w:kern w:val="0"/>
    </w:rPr>
  </w:style>
  <w:style w:type="paragraph" w:customStyle="1" w:styleId="232">
    <w:name w:val="章标题"/>
    <w:basedOn w:val="1"/>
    <w:next w:val="230"/>
    <w:qFormat/>
    <w:uiPriority w:val="0"/>
    <w:pPr>
      <w:widowControl/>
      <w:adjustRightInd/>
      <w:spacing w:beforeLines="50" w:afterLines="50" w:line="240" w:lineRule="auto"/>
      <w:outlineLvl w:val="1"/>
    </w:pPr>
    <w:rPr>
      <w:rFonts w:ascii="黑体" w:hAnsi="黑体" w:eastAsia="黑体" w:cs="宋体"/>
      <w:kern w:val="0"/>
    </w:rPr>
  </w:style>
  <w:style w:type="paragraph" w:customStyle="1" w:styleId="233">
    <w:name w:val="正文表标题"/>
    <w:basedOn w:val="1"/>
    <w:next w:val="230"/>
    <w:qFormat/>
    <w:uiPriority w:val="0"/>
    <w:pPr>
      <w:widowControl/>
      <w:adjustRightInd/>
      <w:spacing w:before="100" w:beforeAutospacing="1" w:after="100" w:afterAutospacing="1" w:line="240" w:lineRule="auto"/>
      <w:jc w:val="center"/>
    </w:pPr>
    <w:rPr>
      <w:rFonts w:ascii="黑体" w:hAnsi="黑体" w:eastAsia="黑体" w:cs="宋体"/>
      <w:kern w:val="0"/>
    </w:rPr>
  </w:style>
  <w:style w:type="paragraph" w:customStyle="1" w:styleId="234">
    <w:name w:val="正文公式编号制表符"/>
    <w:basedOn w:val="230"/>
    <w:next w:val="230"/>
    <w:qFormat/>
    <w:uiPriority w:val="0"/>
    <w:pPr>
      <w:ind w:firstLine="0" w:firstLineChars="0"/>
    </w:pPr>
  </w:style>
  <w:style w:type="paragraph" w:customStyle="1" w:styleId="235">
    <w:name w:val="一级无"/>
    <w:basedOn w:val="231"/>
    <w:qFormat/>
    <w:uiPriority w:val="0"/>
    <w:pPr>
      <w:jc w:val="left"/>
    </w:pPr>
    <w:rPr>
      <w:rFonts w:ascii="宋体" w:hAnsi="宋体"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4504E9F9EB94A46BCE651C113478D18"/>
        <w:style w:val=""/>
        <w:category>
          <w:name w:val="常规"/>
          <w:gallery w:val="placeholder"/>
        </w:category>
        <w:types>
          <w:type w:val="bbPlcHdr"/>
        </w:types>
        <w:behaviors>
          <w:behavior w:val="content"/>
        </w:behaviors>
        <w:description w:val=""/>
        <w:guid w:val="{923F4C56-B65B-4A70-8B81-6E548DC20637}"/>
      </w:docPartPr>
      <w:docPartBody>
        <w:p w14:paraId="05562289">
          <w:pPr>
            <w:pStyle w:val="5"/>
          </w:pPr>
          <w:r>
            <w:rPr>
              <w:rStyle w:val="4"/>
              <w:rFonts w:hint="eastAsia"/>
            </w:rPr>
            <w:t>单击或点击此处输入文字。</w:t>
          </w:r>
        </w:p>
      </w:docPartBody>
    </w:docPart>
    <w:docPart>
      <w:docPartPr>
        <w:name w:val="24EFE260DC6D4287A14291F2D6B60A80"/>
        <w:style w:val=""/>
        <w:category>
          <w:name w:val="常规"/>
          <w:gallery w:val="placeholder"/>
        </w:category>
        <w:types>
          <w:type w:val="bbPlcHdr"/>
        </w:types>
        <w:behaviors>
          <w:behavior w:val="content"/>
        </w:behaviors>
        <w:description w:val=""/>
        <w:guid w:val="{2AB6451F-C77F-4538-A3DD-69F54FE044B1}"/>
      </w:docPartPr>
      <w:docPartBody>
        <w:p w14:paraId="0D7EB7E9">
          <w:pPr>
            <w:pStyle w:val="6"/>
          </w:pPr>
          <w:r>
            <w:rPr>
              <w:rStyle w:val="4"/>
              <w:rFonts w:hint="eastAsia"/>
            </w:rPr>
            <w:t>选择一项。</w:t>
          </w:r>
        </w:p>
      </w:docPartBody>
    </w:docPart>
    <w:docPart>
      <w:docPartPr>
        <w:name w:val="329969AAAF5B485C8EBCB809E33F68A3"/>
        <w:style w:val=""/>
        <w:category>
          <w:name w:val="常规"/>
          <w:gallery w:val="placeholder"/>
        </w:category>
        <w:types>
          <w:type w:val="bbPlcHdr"/>
        </w:types>
        <w:behaviors>
          <w:behavior w:val="content"/>
        </w:behaviors>
        <w:description w:val=""/>
        <w:guid w:val="{27D052ED-0FDC-4C5C-8F2D-B96CC6C42B87}"/>
      </w:docPartPr>
      <w:docPartBody>
        <w:p w14:paraId="7003EC62">
          <w:pPr>
            <w:pStyle w:val="7"/>
          </w:pPr>
          <w:r>
            <w:rPr>
              <w:rStyle w:val="4"/>
              <w:rFonts w:hint="eastAsia"/>
            </w:rPr>
            <w:t>单击或点击此处输入文字。</w:t>
          </w:r>
        </w:p>
      </w:docPartBody>
    </w:docPart>
    <w:docPart>
      <w:docPartPr>
        <w:name w:val="7B969DCD76F54476A43E141EF3C3F4AE"/>
        <w:style w:val=""/>
        <w:category>
          <w:name w:val="常规"/>
          <w:gallery w:val="placeholder"/>
        </w:category>
        <w:types>
          <w:type w:val="bbPlcHdr"/>
        </w:types>
        <w:behaviors>
          <w:behavior w:val="content"/>
        </w:behaviors>
        <w:description w:val=""/>
        <w:guid w:val="{C72002E5-5BE0-4BF9-BA8A-6B61819CE982}"/>
      </w:docPartPr>
      <w:docPartBody>
        <w:p w14:paraId="0AC50BEF">
          <w:pPr>
            <w:pStyle w:val="8"/>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93F00"/>
    <w:rsid w:val="0001396D"/>
    <w:rsid w:val="000A4547"/>
    <w:rsid w:val="00147389"/>
    <w:rsid w:val="0014778B"/>
    <w:rsid w:val="001917D4"/>
    <w:rsid w:val="00192192"/>
    <w:rsid w:val="00231195"/>
    <w:rsid w:val="002932BE"/>
    <w:rsid w:val="004A3586"/>
    <w:rsid w:val="006719CB"/>
    <w:rsid w:val="007C242C"/>
    <w:rsid w:val="008F59E6"/>
    <w:rsid w:val="009652E9"/>
    <w:rsid w:val="009F6548"/>
    <w:rsid w:val="00A060B9"/>
    <w:rsid w:val="00A66C04"/>
    <w:rsid w:val="00A91E79"/>
    <w:rsid w:val="00B93F00"/>
    <w:rsid w:val="00BD67D8"/>
    <w:rsid w:val="00BE480C"/>
    <w:rsid w:val="00D122D4"/>
    <w:rsid w:val="00DA13E2"/>
    <w:rsid w:val="00E42CC2"/>
    <w:rsid w:val="00ED6639"/>
    <w:rsid w:val="00F234B1"/>
    <w:rsid w:val="00F74DF2"/>
    <w:rsid w:val="00FF3BB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4504E9F9EB94A46BCE651C113478D1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4EFE260DC6D4287A14291F2D6B60A80"/>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29969AAAF5B485C8EBCB809E33F68A3"/>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7B969DCD76F54476A43E141EF3C3F4A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0"/>
    <customShpInfo spid="_x0000_s2059"/>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9</Pages>
  <Words>3994</Words>
  <Characters>4729</Characters>
  <Lines>41</Lines>
  <Paragraphs>11</Paragraphs>
  <TotalTime>78</TotalTime>
  <ScaleCrop>false</ScaleCrop>
  <LinksUpToDate>false</LinksUpToDate>
  <CharactersWithSpaces>4982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2024-09-05T05:48:00Z</dcterms:created>
  <dc:creator>柚子酒</dc:creator>
  <dc:description>&lt;config cover="true" show_menu="true" version="1.0.0" doctype="SDKXY"&gt;_x000d_
&lt;/config&gt;</dc:description>
  <cp:lastModifiedBy>江苏质检王伟</cp:lastModifiedBy>
  <cp:lastPrinted>2024-08-30T00:50:00Z</cp:lastPrinted>
  <dcterms:modified xsi:type="dcterms:W3CDTF">2024-09-11T07:54:36Z</dcterms:modified>
  <dc:title>地方标准</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2052-12.1.0.17857</vt:lpwstr>
  </property>
  <property fmtid="{D5CDD505-2E9C-101B-9397-08002B2CF9AE}" pid="15" name="ICV">
    <vt:lpwstr>CA4EE933D0ED4A9887EA9422D5B2E7C1_12</vt:lpwstr>
  </property>
</Properties>
</file>